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BED5F2" w14:textId="3101E48E" w:rsidR="007C40C2" w:rsidRPr="001E2A6B" w:rsidRDefault="00EB6FA2" w:rsidP="001E2A6B">
      <w:pPr>
        <w:spacing w:before="360" w:after="240" w:line="360" w:lineRule="auto"/>
        <w:rPr>
          <w:rFonts w:ascii="Arial" w:hAnsi="Arial" w:cs="Arial"/>
          <w:b/>
          <w:bCs/>
          <w:sz w:val="24"/>
          <w:szCs w:val="24"/>
        </w:rPr>
      </w:pPr>
      <w:r w:rsidRPr="001E2A6B">
        <w:rPr>
          <w:rFonts w:ascii="Arial" w:hAnsi="Arial" w:cs="Arial"/>
          <w:b/>
          <w:bCs/>
          <w:sz w:val="24"/>
          <w:szCs w:val="24"/>
        </w:rPr>
        <w:t xml:space="preserve">Tax Compliance Policy </w:t>
      </w:r>
    </w:p>
    <w:p w14:paraId="30A9DC07" w14:textId="7181F704" w:rsidR="00EB6FA2" w:rsidRPr="001E2A6B" w:rsidRDefault="00EB6FA2" w:rsidP="001E2A6B">
      <w:pPr>
        <w:spacing w:before="360" w:after="240" w:line="360" w:lineRule="auto"/>
        <w:rPr>
          <w:rFonts w:ascii="Arial" w:hAnsi="Arial" w:cs="Arial"/>
          <w:b/>
          <w:bCs/>
        </w:rPr>
      </w:pPr>
      <w:r w:rsidRPr="001E2A6B">
        <w:rPr>
          <w:rFonts w:ascii="Arial" w:hAnsi="Arial" w:cs="Arial"/>
          <w:b/>
          <w:bCs/>
        </w:rPr>
        <w:t xml:space="preserve">Overview </w:t>
      </w:r>
    </w:p>
    <w:p w14:paraId="21EE46B9" w14:textId="49249EE0" w:rsidR="00EB6FA2" w:rsidRPr="001E2A6B" w:rsidRDefault="00EB6FA2" w:rsidP="001E2A6B">
      <w:pPr>
        <w:spacing w:before="360" w:after="240" w:line="360" w:lineRule="auto"/>
        <w:rPr>
          <w:rFonts w:ascii="Arial" w:hAnsi="Arial" w:cs="Arial"/>
        </w:rPr>
      </w:pPr>
      <w:r w:rsidRPr="001E2A6B">
        <w:rPr>
          <w:rFonts w:ascii="Arial" w:hAnsi="Arial" w:cs="Arial"/>
        </w:rPr>
        <w:t xml:space="preserve">The John Readings Way is the is the underpinning foundation of this policy; guiding our decisions and actions. One of our core beliefs is that we must always act ethically and within the law. This policy sets out John Reading’s commitment to managing our global tax obligations. </w:t>
      </w:r>
    </w:p>
    <w:p w14:paraId="1CEFDC28" w14:textId="68B6F2F9" w:rsidR="00EB6FA2" w:rsidRPr="001E2A6B" w:rsidRDefault="00EB6FA2" w:rsidP="001E2A6B">
      <w:pPr>
        <w:spacing w:before="360" w:after="240" w:line="360" w:lineRule="auto"/>
        <w:rPr>
          <w:rFonts w:ascii="Arial" w:hAnsi="Arial" w:cs="Arial"/>
        </w:rPr>
      </w:pPr>
      <w:r w:rsidRPr="001E2A6B">
        <w:rPr>
          <w:rFonts w:ascii="Arial" w:hAnsi="Arial" w:cs="Arial"/>
        </w:rPr>
        <w:t xml:space="preserve">The role of the Group Tax is to ensure John Reading’s global operations are managing their tax compliance obligations in an appropriate and a timely manner. </w:t>
      </w:r>
    </w:p>
    <w:p w14:paraId="4D94290D" w14:textId="734F6756" w:rsidR="00EB6FA2" w:rsidRPr="001E2A6B" w:rsidRDefault="00EB6FA2" w:rsidP="001E2A6B">
      <w:pPr>
        <w:spacing w:before="360" w:after="240" w:line="360" w:lineRule="auto"/>
        <w:rPr>
          <w:rFonts w:ascii="Arial" w:hAnsi="Arial" w:cs="Arial"/>
          <w:b/>
          <w:bCs/>
        </w:rPr>
      </w:pPr>
      <w:r w:rsidRPr="001E2A6B">
        <w:rPr>
          <w:rFonts w:ascii="Arial" w:hAnsi="Arial" w:cs="Arial"/>
          <w:b/>
          <w:bCs/>
        </w:rPr>
        <w:t xml:space="preserve">Scope </w:t>
      </w:r>
    </w:p>
    <w:p w14:paraId="483C4E38" w14:textId="42341D75" w:rsidR="00EB6FA2" w:rsidRPr="001E2A6B" w:rsidRDefault="00EB6FA2" w:rsidP="001E2A6B">
      <w:pPr>
        <w:spacing w:before="360" w:after="240" w:line="360" w:lineRule="auto"/>
        <w:rPr>
          <w:rFonts w:ascii="Arial" w:hAnsi="Arial" w:cs="Arial"/>
        </w:rPr>
      </w:pPr>
      <w:r w:rsidRPr="001E2A6B">
        <w:rPr>
          <w:rFonts w:ascii="Arial" w:hAnsi="Arial" w:cs="Arial"/>
        </w:rPr>
        <w:t xml:space="preserve">This policy applies to all John Readings Divisions and Retail Outlets. </w:t>
      </w:r>
    </w:p>
    <w:p w14:paraId="645AEC9D" w14:textId="20ECAE05" w:rsidR="00EB6FA2" w:rsidRPr="001E2A6B" w:rsidRDefault="00EB6FA2" w:rsidP="001E2A6B">
      <w:pPr>
        <w:spacing w:before="360" w:after="240" w:line="360" w:lineRule="auto"/>
        <w:rPr>
          <w:rFonts w:ascii="Arial" w:hAnsi="Arial" w:cs="Arial"/>
          <w:b/>
          <w:bCs/>
        </w:rPr>
      </w:pPr>
      <w:r w:rsidRPr="001E2A6B">
        <w:rPr>
          <w:rFonts w:ascii="Arial" w:hAnsi="Arial" w:cs="Arial"/>
          <w:b/>
          <w:bCs/>
        </w:rPr>
        <w:t xml:space="preserve">Principles </w:t>
      </w:r>
    </w:p>
    <w:p w14:paraId="32DCB090" w14:textId="2F8617C8" w:rsidR="00EB6FA2" w:rsidRPr="001E2A6B" w:rsidRDefault="00EB6FA2" w:rsidP="001E2A6B">
      <w:pPr>
        <w:spacing w:before="360" w:after="240" w:line="360" w:lineRule="auto"/>
        <w:rPr>
          <w:rFonts w:ascii="Arial" w:hAnsi="Arial" w:cs="Arial"/>
        </w:rPr>
      </w:pPr>
      <w:r w:rsidRPr="001E2A6B">
        <w:rPr>
          <w:rFonts w:ascii="Arial" w:hAnsi="Arial" w:cs="Arial"/>
        </w:rPr>
        <w:t xml:space="preserve">The following objectives underpin the Division Tax Policy and overall tax risk management strategy; </w:t>
      </w:r>
    </w:p>
    <w:p w14:paraId="464B142B" w14:textId="412400DA" w:rsidR="00EB6FA2" w:rsidRPr="001E2A6B" w:rsidRDefault="00EB6FA2" w:rsidP="001E2A6B">
      <w:pPr>
        <w:pStyle w:val="ListParagraph"/>
        <w:numPr>
          <w:ilvl w:val="0"/>
          <w:numId w:val="1"/>
        </w:numPr>
        <w:spacing w:before="360" w:after="240" w:line="360" w:lineRule="auto"/>
        <w:contextualSpacing w:val="0"/>
        <w:rPr>
          <w:rFonts w:ascii="Arial" w:hAnsi="Arial" w:cs="Arial"/>
        </w:rPr>
      </w:pPr>
      <w:r w:rsidRPr="001E2A6B">
        <w:rPr>
          <w:rFonts w:ascii="Arial" w:hAnsi="Arial" w:cs="Arial"/>
        </w:rPr>
        <w:t xml:space="preserve">We acknowledge our global responsibility to be a good corporate citizen and therefore, in seeking to protect and enhance shareholder wealth, we are committed to ensuring the legally correct amount of tax is paid. </w:t>
      </w:r>
    </w:p>
    <w:p w14:paraId="1D418CD4" w14:textId="32BED817" w:rsidR="00EB6FA2" w:rsidRPr="001E2A6B" w:rsidRDefault="00EB6FA2" w:rsidP="001E2A6B">
      <w:pPr>
        <w:pStyle w:val="ListParagraph"/>
        <w:numPr>
          <w:ilvl w:val="0"/>
          <w:numId w:val="1"/>
        </w:numPr>
        <w:spacing w:before="360" w:after="240" w:line="360" w:lineRule="auto"/>
        <w:contextualSpacing w:val="0"/>
        <w:rPr>
          <w:rFonts w:ascii="Arial" w:hAnsi="Arial" w:cs="Arial"/>
        </w:rPr>
      </w:pPr>
      <w:r w:rsidRPr="001E2A6B">
        <w:rPr>
          <w:rFonts w:ascii="Arial" w:hAnsi="Arial" w:cs="Arial"/>
        </w:rPr>
        <w:t xml:space="preserve">We are committed to being transparent and accountable and also to engage in constructive dialogue with Tax Authorities. </w:t>
      </w:r>
    </w:p>
    <w:p w14:paraId="5E74ACAA" w14:textId="62D0764D" w:rsidR="00EB6FA2" w:rsidRPr="001E2A6B" w:rsidRDefault="00EB6FA2" w:rsidP="001E2A6B">
      <w:pPr>
        <w:pStyle w:val="ListParagraph"/>
        <w:numPr>
          <w:ilvl w:val="0"/>
          <w:numId w:val="1"/>
        </w:numPr>
        <w:spacing w:before="360" w:after="240" w:line="360" w:lineRule="auto"/>
        <w:contextualSpacing w:val="0"/>
        <w:rPr>
          <w:rFonts w:ascii="Arial" w:hAnsi="Arial" w:cs="Arial"/>
        </w:rPr>
      </w:pPr>
      <w:r w:rsidRPr="001E2A6B">
        <w:rPr>
          <w:rFonts w:ascii="Arial" w:hAnsi="Arial" w:cs="Arial"/>
        </w:rPr>
        <w:t xml:space="preserve">We manage our tax risks using a tax risk management framework endorsed </w:t>
      </w:r>
      <w:r w:rsidR="00B45A2B" w:rsidRPr="001E2A6B">
        <w:rPr>
          <w:rFonts w:ascii="Arial" w:hAnsi="Arial" w:cs="Arial"/>
        </w:rPr>
        <w:t>by the Audit and Financial Risk Committee (“AFRC”). This framework documents the group’s tax risk.</w:t>
      </w:r>
    </w:p>
    <w:p w14:paraId="62A4FBE7" w14:textId="77777777" w:rsidR="001E2A6B" w:rsidRDefault="001E2A6B">
      <w:pPr>
        <w:rPr>
          <w:rFonts w:ascii="Arial" w:hAnsi="Arial" w:cs="Arial"/>
        </w:rPr>
      </w:pPr>
      <w:r>
        <w:rPr>
          <w:rFonts w:ascii="Arial" w:hAnsi="Arial" w:cs="Arial"/>
        </w:rPr>
        <w:br w:type="page"/>
      </w:r>
      <w:bookmarkStart w:id="0" w:name="_GoBack"/>
      <w:bookmarkEnd w:id="0"/>
    </w:p>
    <w:p w14:paraId="72575B22" w14:textId="77777777" w:rsidR="00B45A2B" w:rsidRPr="001E2A6B" w:rsidRDefault="00B45A2B" w:rsidP="001E2A6B">
      <w:pPr>
        <w:pStyle w:val="ListParagraph"/>
        <w:numPr>
          <w:ilvl w:val="0"/>
          <w:numId w:val="1"/>
        </w:numPr>
        <w:spacing w:before="360" w:after="240" w:line="360" w:lineRule="auto"/>
        <w:contextualSpacing w:val="0"/>
        <w:rPr>
          <w:rFonts w:ascii="Arial" w:hAnsi="Arial" w:cs="Arial"/>
        </w:rPr>
      </w:pPr>
      <w:r w:rsidRPr="001E2A6B">
        <w:rPr>
          <w:rFonts w:ascii="Arial" w:hAnsi="Arial" w:cs="Arial"/>
        </w:rPr>
        <w:lastRenderedPageBreak/>
        <w:t xml:space="preserve">Independent external tax advice commissioned by Group Tax, and approvals or ruling from Tax Authorities, are sought, as appropriate, in relation to the application of any significant tax laws that are uncertain and also in respect of material transactions. </w:t>
      </w:r>
    </w:p>
    <w:p w14:paraId="2D4165AB" w14:textId="20B93FEF" w:rsidR="00B45A2B" w:rsidRPr="001E2A6B" w:rsidRDefault="00B45A2B" w:rsidP="001E2A6B">
      <w:pPr>
        <w:pStyle w:val="ListParagraph"/>
        <w:numPr>
          <w:ilvl w:val="0"/>
          <w:numId w:val="1"/>
        </w:numPr>
        <w:spacing w:before="360" w:after="240" w:line="360" w:lineRule="auto"/>
        <w:contextualSpacing w:val="0"/>
        <w:rPr>
          <w:rFonts w:ascii="Arial" w:hAnsi="Arial" w:cs="Arial"/>
        </w:rPr>
      </w:pPr>
      <w:r w:rsidRPr="001E2A6B">
        <w:rPr>
          <w:rFonts w:ascii="Arial" w:hAnsi="Arial" w:cs="Arial"/>
        </w:rPr>
        <w:t xml:space="preserve">Any tax planning opportunity must be notified to Group Tax (at a divisional and/or group head office level) for consideration prior to implementation to ensure that the proposal satisfies John Reading’s tax risk management appetite as endorsed by the AFRC. </w:t>
      </w:r>
    </w:p>
    <w:p w14:paraId="7DD669EB" w14:textId="1F1807D0" w:rsidR="00B45A2B" w:rsidRPr="001E2A6B" w:rsidRDefault="00B45A2B" w:rsidP="001E2A6B">
      <w:pPr>
        <w:pStyle w:val="ListParagraph"/>
        <w:numPr>
          <w:ilvl w:val="0"/>
          <w:numId w:val="1"/>
        </w:numPr>
        <w:spacing w:before="360" w:after="240" w:line="360" w:lineRule="auto"/>
        <w:contextualSpacing w:val="0"/>
        <w:rPr>
          <w:rFonts w:ascii="Arial" w:hAnsi="Arial" w:cs="Arial"/>
        </w:rPr>
      </w:pPr>
      <w:r w:rsidRPr="001E2A6B">
        <w:rPr>
          <w:rFonts w:ascii="Arial" w:hAnsi="Arial" w:cs="Arial"/>
        </w:rPr>
        <w:t xml:space="preserve">All John Readings businesses around the world, with the support of Group Tax, are responsible and accountable for: </w:t>
      </w:r>
    </w:p>
    <w:p w14:paraId="77F070B4" w14:textId="03A5B8F8" w:rsidR="00B45A2B" w:rsidRPr="001E2A6B" w:rsidRDefault="00B45A2B" w:rsidP="001E2A6B">
      <w:pPr>
        <w:pStyle w:val="ListParagraph"/>
        <w:numPr>
          <w:ilvl w:val="1"/>
          <w:numId w:val="1"/>
        </w:numPr>
        <w:spacing w:before="360" w:after="240" w:line="360" w:lineRule="auto"/>
        <w:contextualSpacing w:val="0"/>
        <w:rPr>
          <w:rFonts w:ascii="Arial" w:hAnsi="Arial" w:cs="Arial"/>
        </w:rPr>
      </w:pPr>
      <w:r w:rsidRPr="001E2A6B">
        <w:rPr>
          <w:rFonts w:ascii="Arial" w:hAnsi="Arial" w:cs="Arial"/>
        </w:rPr>
        <w:t xml:space="preserve">Meeting their local country tax obligations (direct and indirect taxes) and embracing a </w:t>
      </w:r>
      <w:r w:rsidRPr="001E2A6B">
        <w:rPr>
          <w:rFonts w:ascii="Arial" w:hAnsi="Arial" w:cs="Arial"/>
          <w:i/>
          <w:iCs/>
        </w:rPr>
        <w:t xml:space="preserve">lodge on time, all the time </w:t>
      </w:r>
      <w:r w:rsidRPr="001E2A6B">
        <w:rPr>
          <w:rFonts w:ascii="Arial" w:hAnsi="Arial" w:cs="Arial"/>
        </w:rPr>
        <w:t xml:space="preserve">policy, </w:t>
      </w:r>
    </w:p>
    <w:p w14:paraId="07B5C190" w14:textId="7211C1D6" w:rsidR="00B45A2B" w:rsidRPr="001E2A6B" w:rsidRDefault="00B45A2B" w:rsidP="001E2A6B">
      <w:pPr>
        <w:pStyle w:val="ListParagraph"/>
        <w:numPr>
          <w:ilvl w:val="1"/>
          <w:numId w:val="1"/>
        </w:numPr>
        <w:spacing w:before="360" w:after="240" w:line="360" w:lineRule="auto"/>
        <w:contextualSpacing w:val="0"/>
        <w:rPr>
          <w:rFonts w:ascii="Arial" w:hAnsi="Arial" w:cs="Arial"/>
        </w:rPr>
      </w:pPr>
      <w:r w:rsidRPr="001E2A6B">
        <w:rPr>
          <w:rFonts w:ascii="Arial" w:hAnsi="Arial" w:cs="Arial"/>
        </w:rPr>
        <w:t xml:space="preserve">Complying with the John Reading’s group directives in relation to continuous tax reporting improvement, </w:t>
      </w:r>
    </w:p>
    <w:p w14:paraId="2E46214F" w14:textId="445408A7" w:rsidR="00B45A2B" w:rsidRPr="001E2A6B" w:rsidRDefault="00B45A2B" w:rsidP="001E2A6B">
      <w:pPr>
        <w:pStyle w:val="ListParagraph"/>
        <w:numPr>
          <w:ilvl w:val="1"/>
          <w:numId w:val="1"/>
        </w:numPr>
        <w:spacing w:before="360" w:after="240" w:line="360" w:lineRule="auto"/>
        <w:contextualSpacing w:val="0"/>
        <w:rPr>
          <w:rFonts w:ascii="Arial" w:hAnsi="Arial" w:cs="Arial"/>
        </w:rPr>
      </w:pPr>
      <w:r w:rsidRPr="001E2A6B">
        <w:rPr>
          <w:rFonts w:ascii="Arial" w:hAnsi="Arial" w:cs="Arial"/>
        </w:rPr>
        <w:t xml:space="preserve">Providing bi-annual tax information and data via the Global Tax Management System (Link360) that provides a real time repository of important group wide taxation information including each entity’s tax status/profile, </w:t>
      </w:r>
    </w:p>
    <w:p w14:paraId="66DCC210" w14:textId="40FC34B2" w:rsidR="00B45A2B" w:rsidRPr="001E2A6B" w:rsidRDefault="00B45A2B" w:rsidP="001E2A6B">
      <w:pPr>
        <w:pStyle w:val="ListParagraph"/>
        <w:numPr>
          <w:ilvl w:val="1"/>
          <w:numId w:val="1"/>
        </w:numPr>
        <w:spacing w:before="360" w:after="240" w:line="360" w:lineRule="auto"/>
        <w:contextualSpacing w:val="0"/>
        <w:rPr>
          <w:rFonts w:ascii="Arial" w:hAnsi="Arial" w:cs="Arial"/>
        </w:rPr>
      </w:pPr>
      <w:r w:rsidRPr="001E2A6B">
        <w:rPr>
          <w:rFonts w:ascii="Arial" w:hAnsi="Arial" w:cs="Arial"/>
        </w:rPr>
        <w:t xml:space="preserve">Advising </w:t>
      </w:r>
      <w:r w:rsidR="001E2A6B" w:rsidRPr="001E2A6B">
        <w:rPr>
          <w:rFonts w:ascii="Arial" w:hAnsi="Arial" w:cs="Arial"/>
        </w:rPr>
        <w:t xml:space="preserve">Group Tax (at a divisional and/or group head office level) at the earliest practical opportunity of any tax audits, reviews and/or investigations. </w:t>
      </w:r>
    </w:p>
    <w:sectPr w:rsidR="00B45A2B" w:rsidRPr="001E2A6B" w:rsidSect="00EB6FA2">
      <w:headerReference w:type="default" r:id="rId7"/>
      <w:footerReference w:type="default" r:id="rId8"/>
      <w:pgSz w:w="11906" w:h="16838"/>
      <w:pgMar w:top="1701" w:right="1440" w:bottom="1440" w:left="1440" w:header="708" w:footer="5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CC8D4B" w14:textId="77777777" w:rsidR="00E6125D" w:rsidRDefault="00E6125D" w:rsidP="00EB6FA2">
      <w:pPr>
        <w:spacing w:after="0" w:line="240" w:lineRule="auto"/>
      </w:pPr>
      <w:r>
        <w:separator/>
      </w:r>
    </w:p>
  </w:endnote>
  <w:endnote w:type="continuationSeparator" w:id="0">
    <w:p w14:paraId="797BB55D" w14:textId="77777777" w:rsidR="00E6125D" w:rsidRDefault="00E6125D" w:rsidP="00EB6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51200" w14:textId="6A3CB6E5" w:rsidR="00EB6FA2" w:rsidRPr="001F3C4D" w:rsidRDefault="00EB6FA2" w:rsidP="00EB6FA2">
    <w:pPr>
      <w:pStyle w:val="Footer"/>
      <w:rPr>
        <w:rFonts w:ascii="Arial" w:hAnsi="Arial" w:cs="Arial"/>
        <w:b/>
        <w:bCs/>
        <w:sz w:val="20"/>
        <w:szCs w:val="20"/>
      </w:rPr>
    </w:pPr>
    <w:r w:rsidRPr="001F3C4D">
      <w:rPr>
        <w:rFonts w:ascii="Arial" w:hAnsi="Arial" w:cs="Arial"/>
        <w:sz w:val="20"/>
        <w:szCs w:val="20"/>
      </w:rPr>
      <w:t>©201</w:t>
    </w:r>
    <w:r w:rsidR="001E2A6B">
      <w:rPr>
        <w:rFonts w:ascii="Arial" w:hAnsi="Arial" w:cs="Arial"/>
        <w:sz w:val="20"/>
        <w:szCs w:val="20"/>
      </w:rPr>
      <w:t>9</w:t>
    </w:r>
    <w:r w:rsidRPr="001F3C4D">
      <w:rPr>
        <w:rFonts w:ascii="Arial" w:hAnsi="Arial" w:cs="Arial"/>
        <w:sz w:val="20"/>
        <w:szCs w:val="20"/>
      </w:rPr>
      <w:t xml:space="preserve"> College for Adult Learning TOID 22228                                                     </w:t>
    </w:r>
    <w:r>
      <w:rPr>
        <w:rFonts w:ascii="Arial" w:hAnsi="Arial" w:cs="Arial"/>
        <w:sz w:val="20"/>
        <w:szCs w:val="20"/>
      </w:rPr>
      <w:tab/>
    </w:r>
    <w:r w:rsidRPr="001F3C4D">
      <w:rPr>
        <w:rFonts w:ascii="Arial" w:hAnsi="Arial" w:cs="Arial"/>
        <w:sz w:val="20"/>
        <w:szCs w:val="20"/>
      </w:rPr>
      <w:t xml:space="preserve">Page </w:t>
    </w:r>
    <w:r w:rsidRPr="001F3C4D">
      <w:rPr>
        <w:rFonts w:ascii="Arial" w:hAnsi="Arial" w:cs="Arial"/>
        <w:b/>
        <w:bCs/>
        <w:sz w:val="20"/>
        <w:szCs w:val="20"/>
      </w:rPr>
      <w:fldChar w:fldCharType="begin"/>
    </w:r>
    <w:r w:rsidRPr="001F3C4D">
      <w:rPr>
        <w:rFonts w:ascii="Arial" w:hAnsi="Arial" w:cs="Arial"/>
        <w:b/>
        <w:bCs/>
        <w:sz w:val="20"/>
        <w:szCs w:val="20"/>
      </w:rPr>
      <w:instrText xml:space="preserve"> PAGE  \* Arabic  \* MERGEFORMAT </w:instrText>
    </w:r>
    <w:r w:rsidRPr="001F3C4D">
      <w:rPr>
        <w:rFonts w:ascii="Arial" w:hAnsi="Arial" w:cs="Arial"/>
        <w:b/>
        <w:bCs/>
        <w:sz w:val="20"/>
        <w:szCs w:val="20"/>
      </w:rPr>
      <w:fldChar w:fldCharType="separate"/>
    </w:r>
    <w:r>
      <w:rPr>
        <w:rFonts w:ascii="Arial" w:hAnsi="Arial" w:cs="Arial"/>
        <w:b/>
        <w:bCs/>
        <w:sz w:val="20"/>
        <w:szCs w:val="20"/>
      </w:rPr>
      <w:t>1</w:t>
    </w:r>
    <w:r w:rsidRPr="001F3C4D">
      <w:rPr>
        <w:rFonts w:ascii="Arial" w:hAnsi="Arial" w:cs="Arial"/>
        <w:b/>
        <w:bCs/>
        <w:sz w:val="20"/>
        <w:szCs w:val="20"/>
      </w:rPr>
      <w:fldChar w:fldCharType="end"/>
    </w:r>
    <w:r w:rsidRPr="001F3C4D">
      <w:rPr>
        <w:rFonts w:ascii="Arial" w:hAnsi="Arial" w:cs="Arial"/>
        <w:sz w:val="20"/>
        <w:szCs w:val="20"/>
      </w:rPr>
      <w:t xml:space="preserve"> of </w:t>
    </w:r>
    <w:r w:rsidRPr="001F3C4D">
      <w:rPr>
        <w:rFonts w:ascii="Arial" w:hAnsi="Arial" w:cs="Arial"/>
        <w:b/>
        <w:bCs/>
        <w:sz w:val="20"/>
        <w:szCs w:val="20"/>
      </w:rPr>
      <w:fldChar w:fldCharType="begin"/>
    </w:r>
    <w:r w:rsidRPr="001F3C4D">
      <w:rPr>
        <w:rFonts w:ascii="Arial" w:hAnsi="Arial" w:cs="Arial"/>
        <w:b/>
        <w:bCs/>
        <w:sz w:val="20"/>
        <w:szCs w:val="20"/>
      </w:rPr>
      <w:instrText xml:space="preserve"> NUMPAGES  \* Arabic  \* MERGEFORMAT </w:instrText>
    </w:r>
    <w:r w:rsidRPr="001F3C4D">
      <w:rPr>
        <w:rFonts w:ascii="Arial" w:hAnsi="Arial" w:cs="Arial"/>
        <w:b/>
        <w:bCs/>
        <w:sz w:val="20"/>
        <w:szCs w:val="20"/>
      </w:rPr>
      <w:fldChar w:fldCharType="separate"/>
    </w:r>
    <w:r>
      <w:rPr>
        <w:rFonts w:ascii="Arial" w:hAnsi="Arial" w:cs="Arial"/>
        <w:b/>
        <w:bCs/>
        <w:sz w:val="20"/>
        <w:szCs w:val="20"/>
      </w:rPr>
      <w:t>1</w:t>
    </w:r>
    <w:r w:rsidRPr="001F3C4D">
      <w:rPr>
        <w:rFonts w:ascii="Arial" w:hAnsi="Arial" w:cs="Arial"/>
        <w:b/>
        <w:bCs/>
        <w:sz w:val="20"/>
        <w:szCs w:val="20"/>
      </w:rPr>
      <w:fldChar w:fldCharType="end"/>
    </w:r>
  </w:p>
  <w:p w14:paraId="04D06305" w14:textId="77777777" w:rsidR="00EB6FA2" w:rsidRPr="001F3C4D" w:rsidRDefault="00EB6FA2" w:rsidP="00EB6FA2">
    <w:pPr>
      <w:pStyle w:val="Footer"/>
      <w:rPr>
        <w:rFonts w:ascii="Arial" w:hAnsi="Arial" w:cs="Arial"/>
        <w:b/>
        <w:bCs/>
        <w:sz w:val="20"/>
        <w:szCs w:val="20"/>
      </w:rPr>
    </w:pPr>
  </w:p>
  <w:p w14:paraId="2711137E" w14:textId="2C18112B" w:rsidR="00EB6FA2" w:rsidRPr="00EB6FA2" w:rsidRDefault="00EB6FA2" w:rsidP="00EB6FA2">
    <w:pPr>
      <w:pStyle w:val="Footer"/>
      <w:spacing w:after="240" w:line="360" w:lineRule="auto"/>
      <w:jc w:val="center"/>
      <w:rPr>
        <w:rFonts w:ascii="Arial" w:hAnsi="Arial" w:cs="Arial"/>
        <w:sz w:val="20"/>
        <w:szCs w:val="20"/>
      </w:rPr>
    </w:pPr>
    <w:r w:rsidRPr="001F3C4D">
      <w:rPr>
        <w:rFonts w:ascii="Arial" w:hAnsi="Arial" w:cs="Arial"/>
        <w:sz w:val="20"/>
        <w:szCs w:val="20"/>
      </w:rPr>
      <w:t>John Readings is a fictitious company created for education and training purposes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6E27DD" w14:textId="77777777" w:rsidR="00E6125D" w:rsidRDefault="00E6125D" w:rsidP="00EB6FA2">
      <w:pPr>
        <w:spacing w:after="0" w:line="240" w:lineRule="auto"/>
      </w:pPr>
      <w:r>
        <w:separator/>
      </w:r>
    </w:p>
  </w:footnote>
  <w:footnote w:type="continuationSeparator" w:id="0">
    <w:p w14:paraId="7832E76F" w14:textId="77777777" w:rsidR="00E6125D" w:rsidRDefault="00E6125D" w:rsidP="00EB6F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69233" w14:textId="77777777" w:rsidR="00EB6FA2" w:rsidRPr="00EB0EE1" w:rsidRDefault="00EB6FA2" w:rsidP="00EB6FA2">
    <w:pPr>
      <w:pStyle w:val="Header"/>
      <w:ind w:left="720"/>
      <w:rPr>
        <w:rFonts w:ascii="Arial" w:hAnsi="Arial" w:cs="Arial"/>
        <w:b/>
        <w:bCs/>
      </w:rPr>
    </w:pPr>
    <w:bookmarkStart w:id="1" w:name="_Hlk13160114"/>
    <w:r w:rsidRPr="00EB0EE1">
      <w:rPr>
        <w:rFonts w:ascii="Arial" w:hAnsi="Arial" w:cs="Arial"/>
        <w:b/>
        <w:bCs/>
        <w:noProof/>
        <w:lang w:eastAsia="en-AU"/>
      </w:rPr>
      <mc:AlternateContent>
        <mc:Choice Requires="wps">
          <w:drawing>
            <wp:anchor distT="0" distB="0" distL="114300" distR="114300" simplePos="0" relativeHeight="251660288" behindDoc="0" locked="0" layoutInCell="1" allowOverlap="1" wp14:anchorId="3A837D47" wp14:editId="6169E2F5">
              <wp:simplePos x="0" y="0"/>
              <wp:positionH relativeFrom="margin">
                <wp:align>left</wp:align>
              </wp:positionH>
              <wp:positionV relativeFrom="paragraph">
                <wp:posOffset>-87630</wp:posOffset>
              </wp:positionV>
              <wp:extent cx="3648075" cy="55245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3648075" cy="552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421E7E5" w14:textId="77777777" w:rsidR="00EB6FA2" w:rsidRPr="00250776" w:rsidRDefault="00EB6FA2" w:rsidP="00EB6FA2">
                          <w:pPr>
                            <w:pStyle w:val="NormalWeb"/>
                            <w:spacing w:before="0" w:beforeAutospacing="0" w:after="0" w:afterAutospacing="0"/>
                            <w:rPr>
                              <w:rFonts w:ascii="Arial" w:hAnsi="Arial" w:cs="Arial"/>
                              <w:color w:val="C00000"/>
                              <w:sz w:val="48"/>
                              <w:szCs w:val="48"/>
                            </w:rPr>
                          </w:pPr>
                          <w:r w:rsidRPr="00250776">
                            <w:rPr>
                              <w:rFonts w:ascii="Arial" w:hAnsi="Arial" w:cs="Arial"/>
                              <w:color w:val="C00000"/>
                              <w:sz w:val="48"/>
                              <w:szCs w:val="48"/>
                            </w:rPr>
                            <w:t>John Readings Pty Ltd</w:t>
                          </w:r>
                        </w:p>
                        <w:p w14:paraId="23C9E900" w14:textId="77777777" w:rsidR="00EB6FA2" w:rsidRPr="00250776" w:rsidRDefault="00EB6FA2" w:rsidP="00EB6FA2">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837D47" id="_x0000_t202" coordsize="21600,21600" o:spt="202" path="m,l,21600r21600,l21600,xe">
              <v:stroke joinstyle="miter"/>
              <v:path gradientshapeok="t" o:connecttype="rect"/>
            </v:shapetype>
            <v:shape id="Text Box 2" o:spid="_x0000_s1026" type="#_x0000_t202" style="position:absolute;left:0;text-align:left;margin-left:0;margin-top:-6.9pt;width:287.25pt;height:43.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" fillcolor="white [3201]" stroked="f" strokeweight=".5pt">
              <v:textbox>
                <w:txbxContent>
                  <w:p w14:paraId="0421E7E5" w14:textId="77777777" w:rsidR="00EB6FA2" w:rsidRPr="00250776" w:rsidRDefault="00EB6FA2" w:rsidP="00EB6FA2">
                    <w:pPr>
                      <w:pStyle w:val="NormalWeb"/>
                      <w:spacing w:before="0" w:beforeAutospacing="0" w:after="0" w:afterAutospacing="0"/>
                      <w:rPr>
                        <w:rFonts w:ascii="Arial" w:hAnsi="Arial" w:cs="Arial"/>
                        <w:color w:val="C00000"/>
                        <w:sz w:val="48"/>
                        <w:szCs w:val="48"/>
                      </w:rPr>
                    </w:pPr>
                    <w:r w:rsidRPr="00250776">
                      <w:rPr>
                        <w:rFonts w:ascii="Arial" w:hAnsi="Arial" w:cs="Arial"/>
                        <w:color w:val="C00000"/>
                        <w:sz w:val="48"/>
                        <w:szCs w:val="48"/>
                      </w:rPr>
                      <w:t>John Readings Pty Ltd</w:t>
                    </w:r>
                  </w:p>
                  <w:p w14:paraId="23C9E900" w14:textId="77777777" w:rsidR="00EB6FA2" w:rsidRPr="00250776" w:rsidRDefault="00EB6FA2" w:rsidP="00EB6FA2">
                    <w:pPr>
                      <w:rPr>
                        <w:rFonts w:ascii="Arial" w:hAnsi="Arial" w:cs="Arial"/>
                      </w:rPr>
                    </w:pPr>
                  </w:p>
                </w:txbxContent>
              </v:textbox>
              <w10:wrap anchorx="margin"/>
            </v:shape>
          </w:pict>
        </mc:Fallback>
      </mc:AlternateContent>
    </w:r>
    <w:r w:rsidRPr="00EB0EE1">
      <w:rPr>
        <w:rFonts w:ascii="Arial" w:hAnsi="Arial" w:cs="Arial"/>
        <w:b/>
        <w:bCs/>
        <w:noProof/>
        <w:lang w:eastAsia="en-AU"/>
      </w:rPr>
      <mc:AlternateContent>
        <mc:Choice Requires="wps">
          <w:drawing>
            <wp:anchor distT="0" distB="0" distL="114300" distR="114300" simplePos="0" relativeHeight="251659264" behindDoc="0" locked="0" layoutInCell="1" allowOverlap="1" wp14:anchorId="3634CCDC" wp14:editId="22A3F76E">
              <wp:simplePos x="0" y="0"/>
              <wp:positionH relativeFrom="column">
                <wp:posOffset>3647440</wp:posOffset>
              </wp:positionH>
              <wp:positionV relativeFrom="paragraph">
                <wp:posOffset>-433070</wp:posOffset>
              </wp:positionV>
              <wp:extent cx="2562225" cy="11049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2562225" cy="11049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566D28DE" w14:textId="77777777" w:rsidR="00EB6FA2" w:rsidRDefault="00EB6FA2" w:rsidP="00EB6FA2">
                          <w:r w:rsidRPr="00966BA6">
                            <w:rPr>
                              <w:noProof/>
                              <w:lang w:eastAsia="en-AU"/>
                            </w:rPr>
                            <w:drawing>
                              <wp:inline distT="0" distB="0" distL="0" distR="0" wp14:anchorId="1C93E677" wp14:editId="70FD27A3">
                                <wp:extent cx="2287270" cy="769409"/>
                                <wp:effectExtent l="152400" t="152400" r="360680" b="35496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287270" cy="769409"/>
                                        </a:xfrm>
                                        <a:prstGeom prst="rect">
                                          <a:avLst/>
                                        </a:prstGeom>
                                        <a:ln>
                                          <a:noFill/>
                                        </a:ln>
                                        <a:effectLst>
                                          <a:outerShdw blurRad="292100" dist="139700" dir="2700000" algn="tl" rotWithShape="0">
                                            <a:srgbClr val="333333">
                                              <a:alpha val="65000"/>
                                            </a:srgbClr>
                                          </a:outerShdw>
                                        </a:effec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34CCDC" id="Text Box 1" o:spid="_x0000_s1027" type="#_x0000_t202" style="position:absolute;left:0;text-align:left;margin-left:287.2pt;margin-top:-34.1pt;width:201.75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" fillcolor="white [3201]" strokecolor="white [3212]" strokeweight=".5pt">
              <v:textbox>
                <w:txbxContent>
                  <w:p w14:paraId="566D28DE" w14:textId="77777777" w:rsidR="00EB6FA2" w:rsidRDefault="00EB6FA2" w:rsidP="00EB6FA2">
                    <w:r w:rsidRPr="00966BA6">
                      <w:rPr>
                        <w:noProof/>
                        <w:lang w:eastAsia="en-AU"/>
                      </w:rPr>
                      <w:drawing>
                        <wp:inline distT="0" distB="0" distL="0" distR="0" wp14:anchorId="1C93E677" wp14:editId="70FD27A3">
                          <wp:extent cx="2287270" cy="769409"/>
                          <wp:effectExtent l="152400" t="152400" r="360680" b="35496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2287270" cy="769409"/>
                                  </a:xfrm>
                                  <a:prstGeom prst="rect">
                                    <a:avLst/>
                                  </a:prstGeom>
                                  <a:ln>
                                    <a:noFill/>
                                  </a:ln>
                                  <a:effectLst>
                                    <a:outerShdw blurRad="292100" dist="139700" dir="2700000" algn="tl" rotWithShape="0">
                                      <a:srgbClr val="333333">
                                        <a:alpha val="65000"/>
                                      </a:srgbClr>
                                    </a:outerShdw>
                                  </a:effectLst>
                                </pic:spPr>
                              </pic:pic>
                            </a:graphicData>
                          </a:graphic>
                        </wp:inline>
                      </w:drawing>
                    </w:r>
                  </w:p>
                </w:txbxContent>
              </v:textbox>
            </v:shape>
          </w:pict>
        </mc:Fallback>
      </mc:AlternateContent>
    </w:r>
  </w:p>
  <w:bookmarkEnd w:id="1"/>
  <w:p w14:paraId="5D85585E" w14:textId="77777777" w:rsidR="00EB6FA2" w:rsidRDefault="00EB6F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B5A05"/>
    <w:multiLevelType w:val="hybridMultilevel"/>
    <w:tmpl w:val="7556E7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ocumentProtection w:edit="readOnly" w:enforcement="1" w:cryptProviderType="rsaAES" w:cryptAlgorithmClass="hash" w:cryptAlgorithmType="typeAny" w:cryptAlgorithmSid="14" w:cryptSpinCount="100000" w:hash="2alcQt0BvEZ0HZZstpw3XWb27BOdnmiFC6Kkxde4yAU+VMO3MN0QCwRfN+KEhnYBjvrR3vgWNRPHj7EU6bPdNg==" w:salt="ofiKt4b1UXRibZkFuMjDf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FA2"/>
    <w:rsid w:val="001E2A6B"/>
    <w:rsid w:val="007C40C2"/>
    <w:rsid w:val="00B45A2B"/>
    <w:rsid w:val="00E6125D"/>
    <w:rsid w:val="00EB6FA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BB11F2"/>
  <w15:chartTrackingRefBased/>
  <w15:docId w15:val="{D6A70E2E-EF7F-41FD-996B-2B8BD1631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6F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6FA2"/>
  </w:style>
  <w:style w:type="paragraph" w:styleId="Footer">
    <w:name w:val="footer"/>
    <w:basedOn w:val="Normal"/>
    <w:link w:val="FooterChar"/>
    <w:uiPriority w:val="99"/>
    <w:unhideWhenUsed/>
    <w:rsid w:val="00EB6F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6FA2"/>
  </w:style>
  <w:style w:type="paragraph" w:styleId="NormalWeb">
    <w:name w:val="Normal (Web)"/>
    <w:basedOn w:val="Normal"/>
    <w:uiPriority w:val="99"/>
    <w:unhideWhenUsed/>
    <w:rsid w:val="00EB6FA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EB6F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359</Words>
  <Characters>2049</Characters>
  <Application>Microsoft Office Word</Application>
  <DocSecurity>8</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Sabell</dc:creator>
  <cp:keywords/>
  <dc:description/>
  <cp:lastModifiedBy>Sarah Sabell</cp:lastModifiedBy>
  <cp:revision>1</cp:revision>
  <dcterms:created xsi:type="dcterms:W3CDTF">2019-07-08T09:43:00Z</dcterms:created>
  <dcterms:modified xsi:type="dcterms:W3CDTF">2019-07-08T10:06:00Z</dcterms:modified>
</cp:coreProperties>
</file>