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AAC6" w14:textId="77777777" w:rsidR="006B162B" w:rsidRPr="00BA03A0" w:rsidRDefault="00212038"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imes New Roman" w:hAnsi="Arial" w:cs="Arial"/>
          <w:b/>
          <w:color w:val="auto"/>
          <w:sz w:val="22"/>
          <w:lang w:eastAsia="en-AU"/>
        </w:rPr>
        <w:t xml:space="preserve">Policy and Procedures </w:t>
      </w:r>
    </w:p>
    <w:tbl>
      <w:tblPr>
        <w:tblStyle w:val="TableGrid"/>
        <w:tblW w:w="0" w:type="auto"/>
        <w:tblLook w:val="04A0" w:firstRow="1" w:lastRow="0" w:firstColumn="1" w:lastColumn="0" w:noHBand="0" w:noVBand="1"/>
      </w:tblPr>
      <w:tblGrid>
        <w:gridCol w:w="3681"/>
        <w:gridCol w:w="4605"/>
      </w:tblGrid>
      <w:tr w:rsidR="0019198C" w:rsidRPr="00BA03A0" w14:paraId="2DA0F00E" w14:textId="77777777" w:rsidTr="00BA03A0">
        <w:tc>
          <w:tcPr>
            <w:tcW w:w="3681" w:type="dxa"/>
          </w:tcPr>
          <w:p w14:paraId="2E8A32DD" w14:textId="77777777" w:rsidR="0019198C" w:rsidRPr="00BA03A0" w:rsidRDefault="0019198C"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heme="minorHAnsi" w:hAnsi="Arial" w:cs="Arial"/>
                <w:b/>
                <w:color w:val="auto"/>
                <w:sz w:val="22"/>
                <w:lang w:val="en-AU"/>
              </w:rPr>
              <w:t>POLICY TITLE:</w:t>
            </w:r>
          </w:p>
        </w:tc>
        <w:tc>
          <w:tcPr>
            <w:tcW w:w="4605" w:type="dxa"/>
          </w:tcPr>
          <w:p w14:paraId="06CE2653" w14:textId="77777777" w:rsidR="0019198C" w:rsidRPr="00BA03A0" w:rsidRDefault="007E45F0"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heme="minorHAnsi" w:hAnsi="Arial" w:cs="Arial"/>
                <w:color w:val="auto"/>
                <w:sz w:val="22"/>
                <w:lang w:val="en-AU"/>
              </w:rPr>
              <w:t>Recruitment and Selection</w:t>
            </w:r>
          </w:p>
        </w:tc>
      </w:tr>
      <w:tr w:rsidR="0019198C" w:rsidRPr="00BA03A0" w14:paraId="6588277C" w14:textId="77777777" w:rsidTr="00BA03A0">
        <w:tc>
          <w:tcPr>
            <w:tcW w:w="3681" w:type="dxa"/>
          </w:tcPr>
          <w:p w14:paraId="122621E1" w14:textId="77777777" w:rsidR="0019198C" w:rsidRPr="00BA03A0" w:rsidRDefault="0019198C"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heme="minorHAnsi" w:hAnsi="Arial" w:cs="Arial"/>
                <w:b/>
                <w:color w:val="auto"/>
                <w:sz w:val="22"/>
                <w:lang w:val="en-AU"/>
              </w:rPr>
              <w:t>ADMINISTERED BY:</w:t>
            </w:r>
          </w:p>
        </w:tc>
        <w:tc>
          <w:tcPr>
            <w:tcW w:w="4605" w:type="dxa"/>
          </w:tcPr>
          <w:p w14:paraId="5BEE7194" w14:textId="77777777" w:rsidR="0019198C" w:rsidRPr="00BA03A0" w:rsidRDefault="007E45F0"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heme="minorHAnsi" w:hAnsi="Arial" w:cs="Arial"/>
                <w:color w:val="auto"/>
                <w:sz w:val="22"/>
                <w:lang w:val="en-AU"/>
              </w:rPr>
              <w:t>Director</w:t>
            </w:r>
            <w:r w:rsidR="0019198C" w:rsidRPr="00BA03A0">
              <w:rPr>
                <w:rFonts w:ascii="Arial" w:eastAsiaTheme="minorHAnsi" w:hAnsi="Arial" w:cs="Arial"/>
                <w:color w:val="auto"/>
                <w:sz w:val="22"/>
                <w:lang w:val="en-AU"/>
              </w:rPr>
              <w:t xml:space="preserve">, </w:t>
            </w:r>
            <w:r w:rsidRPr="00BA03A0">
              <w:rPr>
                <w:rFonts w:ascii="Arial" w:eastAsiaTheme="minorHAnsi" w:hAnsi="Arial" w:cs="Arial"/>
                <w:color w:val="auto"/>
                <w:sz w:val="22"/>
                <w:lang w:val="en-AU"/>
              </w:rPr>
              <w:t>Human Resources Management</w:t>
            </w:r>
          </w:p>
        </w:tc>
      </w:tr>
      <w:tr w:rsidR="0019198C" w:rsidRPr="00BA03A0" w14:paraId="20CEADBA" w14:textId="77777777" w:rsidTr="00BA03A0">
        <w:tc>
          <w:tcPr>
            <w:tcW w:w="3681" w:type="dxa"/>
          </w:tcPr>
          <w:p w14:paraId="335FAF64" w14:textId="77777777" w:rsidR="0019198C" w:rsidRPr="00BA03A0" w:rsidRDefault="0019198C"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heme="minorHAnsi" w:hAnsi="Arial" w:cs="Arial"/>
                <w:b/>
                <w:color w:val="auto"/>
                <w:sz w:val="22"/>
                <w:lang w:val="en-AU"/>
              </w:rPr>
              <w:t xml:space="preserve">APPLICABILITY: </w:t>
            </w:r>
            <w:r w:rsidRPr="00BA03A0">
              <w:rPr>
                <w:rFonts w:ascii="Arial" w:eastAsiaTheme="minorHAnsi" w:hAnsi="Arial" w:cs="Arial"/>
                <w:b/>
                <w:color w:val="auto"/>
                <w:sz w:val="22"/>
                <w:lang w:val="en-AU"/>
              </w:rPr>
              <w:tab/>
            </w:r>
          </w:p>
        </w:tc>
        <w:tc>
          <w:tcPr>
            <w:tcW w:w="4605" w:type="dxa"/>
          </w:tcPr>
          <w:p w14:paraId="78D86604" w14:textId="77777777" w:rsidR="0019198C" w:rsidRPr="00BA03A0" w:rsidRDefault="007E45F0" w:rsidP="0019198C">
            <w:pPr>
              <w:spacing w:before="240" w:after="240" w:line="360" w:lineRule="auto"/>
              <w:ind w:left="0" w:firstLine="0"/>
              <w:rPr>
                <w:rFonts w:ascii="Arial" w:eastAsia="Times New Roman" w:hAnsi="Arial" w:cs="Arial"/>
                <w:b/>
                <w:color w:val="auto"/>
                <w:sz w:val="22"/>
                <w:lang w:eastAsia="en-AU"/>
              </w:rPr>
            </w:pPr>
            <w:r w:rsidRPr="00BA03A0">
              <w:rPr>
                <w:rFonts w:ascii="Arial" w:eastAsiaTheme="minorHAnsi" w:hAnsi="Arial" w:cs="Arial"/>
                <w:color w:val="auto"/>
                <w:sz w:val="22"/>
                <w:lang w:val="en-AU"/>
              </w:rPr>
              <w:t>All New Employees</w:t>
            </w:r>
          </w:p>
        </w:tc>
      </w:tr>
    </w:tbl>
    <w:p w14:paraId="33EB7F3B" w14:textId="77777777" w:rsidR="006B162B" w:rsidRPr="00BA03A0" w:rsidRDefault="00212038" w:rsidP="0019198C">
      <w:pPr>
        <w:spacing w:before="240" w:after="240" w:line="360" w:lineRule="auto"/>
        <w:ind w:left="0" w:firstLine="0"/>
        <w:rPr>
          <w:rFonts w:ascii="Arial" w:eastAsia="Times New Roman" w:hAnsi="Arial" w:cs="Arial"/>
          <w:b/>
          <w:i/>
          <w:color w:val="auto"/>
          <w:sz w:val="22"/>
          <w:lang w:eastAsia="en-AU"/>
        </w:rPr>
      </w:pPr>
      <w:r w:rsidRPr="00BA03A0">
        <w:rPr>
          <w:rFonts w:ascii="Arial" w:eastAsia="Times New Roman" w:hAnsi="Arial" w:cs="Arial"/>
          <w:b/>
          <w:i/>
          <w:color w:val="auto"/>
          <w:sz w:val="22"/>
          <w:lang w:eastAsia="en-AU"/>
        </w:rPr>
        <w:t xml:space="preserve">Policy Statement </w:t>
      </w:r>
    </w:p>
    <w:p w14:paraId="6C7CB8EC" w14:textId="77777777" w:rsidR="006B162B" w:rsidRPr="00BA03A0" w:rsidRDefault="00212038" w:rsidP="0019198C">
      <w:pPr>
        <w:spacing w:before="240" w:after="240" w:line="360" w:lineRule="auto"/>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The recruitment and selection of new employees at John Readings will at all times conform to ‘best practice’ standards and comply with relevant legislative and regulatory requirements. This policy covers activities such as recruitment and selection methods, outsourcing, advertising, notification of selection outcomes and feedback to all candidates, and remuneration offers. </w:t>
      </w:r>
    </w:p>
    <w:p w14:paraId="07CF224F" w14:textId="77777777" w:rsidR="006B162B" w:rsidRPr="00BA03A0" w:rsidRDefault="00212038" w:rsidP="0019198C">
      <w:pPr>
        <w:spacing w:before="240" w:after="240" w:line="360" w:lineRule="auto"/>
        <w:ind w:left="0" w:firstLine="0"/>
        <w:rPr>
          <w:rFonts w:ascii="Arial" w:eastAsia="Times New Roman" w:hAnsi="Arial" w:cs="Arial"/>
          <w:b/>
          <w:i/>
          <w:color w:val="auto"/>
          <w:sz w:val="22"/>
          <w:lang w:eastAsia="en-AU"/>
        </w:rPr>
      </w:pPr>
      <w:r w:rsidRPr="00BA03A0">
        <w:rPr>
          <w:rFonts w:ascii="Arial" w:eastAsia="Times New Roman" w:hAnsi="Arial" w:cs="Arial"/>
          <w:b/>
          <w:i/>
          <w:color w:val="auto"/>
          <w:sz w:val="22"/>
          <w:lang w:eastAsia="en-AU"/>
        </w:rPr>
        <w:t xml:space="preserve">Policy Objective </w:t>
      </w:r>
    </w:p>
    <w:p w14:paraId="3063EBD2" w14:textId="77777777" w:rsidR="006B162B" w:rsidRPr="00BA03A0" w:rsidRDefault="00212038" w:rsidP="0019198C">
      <w:pPr>
        <w:spacing w:before="240" w:after="240" w:line="360" w:lineRule="auto"/>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The purpose of this policy and related procedures </w:t>
      </w:r>
      <w:r w:rsidR="00E419AC" w:rsidRPr="00BA03A0">
        <w:rPr>
          <w:rFonts w:ascii="Arial" w:eastAsiaTheme="minorHAnsi" w:hAnsi="Arial" w:cs="Arial"/>
          <w:color w:val="auto"/>
          <w:sz w:val="22"/>
          <w:lang w:val="en-AU"/>
        </w:rPr>
        <w:t>is to ensure that John Readings</w:t>
      </w:r>
      <w:r w:rsidRPr="00BA03A0">
        <w:rPr>
          <w:rFonts w:ascii="Arial" w:eastAsiaTheme="minorHAnsi" w:hAnsi="Arial" w:cs="Arial"/>
          <w:color w:val="auto"/>
          <w:sz w:val="22"/>
          <w:lang w:val="en-AU"/>
        </w:rPr>
        <w:t xml:space="preserve"> is adequately and appropriately staffed by people who best meet the requirements for vacant positions. Commitment to Equal Employment Opportunity (EEO) ensures that all activities related to recruitment and selection are free of direct and indirect discrimination and harassment. </w:t>
      </w:r>
    </w:p>
    <w:p w14:paraId="69F631A9" w14:textId="77777777" w:rsidR="00BA03A0" w:rsidRDefault="00BA03A0">
      <w:pPr>
        <w:spacing w:after="160" w:line="259" w:lineRule="auto"/>
        <w:ind w:left="0" w:firstLine="0"/>
        <w:rPr>
          <w:rFonts w:ascii="Arial" w:eastAsia="Times New Roman" w:hAnsi="Arial" w:cs="Arial"/>
          <w:b/>
          <w:i/>
          <w:color w:val="auto"/>
          <w:sz w:val="22"/>
          <w:lang w:eastAsia="en-AU"/>
        </w:rPr>
      </w:pPr>
      <w:r>
        <w:rPr>
          <w:rFonts w:ascii="Arial" w:eastAsia="Times New Roman" w:hAnsi="Arial" w:cs="Arial"/>
          <w:b/>
          <w:i/>
          <w:color w:val="auto"/>
          <w:sz w:val="22"/>
          <w:lang w:eastAsia="en-AU"/>
        </w:rPr>
        <w:br w:type="page"/>
      </w:r>
    </w:p>
    <w:p w14:paraId="045A96D5" w14:textId="762E5169" w:rsidR="006B162B" w:rsidRPr="00BA03A0" w:rsidRDefault="00212038" w:rsidP="0019198C">
      <w:pPr>
        <w:spacing w:before="240" w:after="240" w:line="360" w:lineRule="auto"/>
        <w:ind w:left="0" w:firstLine="0"/>
        <w:rPr>
          <w:rFonts w:ascii="Arial" w:eastAsia="Times New Roman" w:hAnsi="Arial" w:cs="Arial"/>
          <w:b/>
          <w:i/>
          <w:color w:val="auto"/>
          <w:sz w:val="22"/>
          <w:lang w:eastAsia="en-AU"/>
        </w:rPr>
      </w:pPr>
      <w:r w:rsidRPr="00BA03A0">
        <w:rPr>
          <w:rFonts w:ascii="Arial" w:eastAsia="Times New Roman" w:hAnsi="Arial" w:cs="Arial"/>
          <w:b/>
          <w:i/>
          <w:color w:val="auto"/>
          <w:sz w:val="22"/>
          <w:lang w:eastAsia="en-AU"/>
        </w:rPr>
        <w:lastRenderedPageBreak/>
        <w:t xml:space="preserve">Procedures </w:t>
      </w:r>
    </w:p>
    <w:p w14:paraId="22591E0E" w14:textId="77777777" w:rsidR="006B162B" w:rsidRPr="00BA03A0" w:rsidRDefault="00212038" w:rsidP="0019198C">
      <w:pPr>
        <w:pStyle w:val="Heading2"/>
        <w:spacing w:before="240" w:after="240" w:line="360" w:lineRule="auto"/>
        <w:rPr>
          <w:rFonts w:ascii="Arial" w:eastAsia="Times New Roman" w:hAnsi="Arial" w:cs="Arial"/>
          <w:b w:val="0"/>
          <w:color w:val="auto"/>
          <w:sz w:val="22"/>
          <w:u w:val="single"/>
          <w:lang w:eastAsia="en-AU"/>
        </w:rPr>
      </w:pPr>
      <w:r w:rsidRPr="00BA03A0">
        <w:rPr>
          <w:rFonts w:ascii="Arial" w:eastAsia="Times New Roman" w:hAnsi="Arial" w:cs="Arial"/>
          <w:b w:val="0"/>
          <w:color w:val="auto"/>
          <w:sz w:val="22"/>
          <w:u w:val="single"/>
          <w:lang w:eastAsia="en-AU"/>
        </w:rPr>
        <w:t xml:space="preserve">Recruitment </w:t>
      </w:r>
    </w:p>
    <w:p w14:paraId="4FE2CD29" w14:textId="77777777" w:rsidR="006B162B" w:rsidRPr="00BA03A0" w:rsidRDefault="00212038" w:rsidP="007F3209">
      <w:pPr>
        <w:pStyle w:val="Heading3"/>
        <w:numPr>
          <w:ilvl w:val="0"/>
          <w:numId w:val="9"/>
        </w:numPr>
        <w:spacing w:before="240" w:after="240" w:line="360" w:lineRule="auto"/>
        <w:rPr>
          <w:rFonts w:ascii="Arial" w:hAnsi="Arial" w:cs="Arial"/>
          <w:sz w:val="22"/>
        </w:rPr>
      </w:pPr>
      <w:r w:rsidRPr="00BA03A0">
        <w:rPr>
          <w:rFonts w:ascii="Arial" w:eastAsia="Times New Roman" w:hAnsi="Arial" w:cs="Arial"/>
          <w:color w:val="auto"/>
          <w:sz w:val="22"/>
          <w:lang w:eastAsia="en-AU"/>
        </w:rPr>
        <w:t>Approval for recruitment</w:t>
      </w:r>
      <w:r w:rsidRPr="00BA03A0">
        <w:rPr>
          <w:rFonts w:ascii="Arial" w:hAnsi="Arial" w:cs="Arial"/>
          <w:sz w:val="22"/>
        </w:rPr>
        <w:t xml:space="preserve"> </w:t>
      </w:r>
    </w:p>
    <w:p w14:paraId="61BBE71F" w14:textId="147F640F" w:rsidR="006B162B" w:rsidRPr="00BA03A0" w:rsidRDefault="00212038" w:rsidP="00BA03A0">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When the requirement to replace or appoint additional staff is identified, the manager to whom the position reports (Department Manager) must complete a Personnel Request Form and forward it to the Human Resources Department. A job description must be written or reviewed by the Manager in conjunction with HR to ensure that it is accurate and current. The HR Department will establish an appropriate salary level for new and revised positions. </w:t>
      </w:r>
    </w:p>
    <w:p w14:paraId="009E7066"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Commencement of recruitment activity </w:t>
      </w:r>
    </w:p>
    <w:p w14:paraId="594AAE41"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On receipt of the appropriately authorised Personnel Request Form, the HR Department will initiate recruitment activity to fill the vacant position. HR Department representatives will </w:t>
      </w:r>
      <w:r w:rsidR="00600C80" w:rsidRPr="00BA03A0">
        <w:rPr>
          <w:rFonts w:ascii="Arial" w:eastAsiaTheme="minorHAnsi" w:hAnsi="Arial" w:cs="Arial"/>
          <w:color w:val="auto"/>
          <w:sz w:val="22"/>
          <w:lang w:val="en-AU"/>
        </w:rPr>
        <w:t>liaise</w:t>
      </w:r>
      <w:r w:rsidRPr="00BA03A0">
        <w:rPr>
          <w:rFonts w:ascii="Arial" w:eastAsiaTheme="minorHAnsi" w:hAnsi="Arial" w:cs="Arial"/>
          <w:color w:val="auto"/>
          <w:sz w:val="22"/>
          <w:lang w:val="en-AU"/>
        </w:rPr>
        <w:t xml:space="preserve"> with the Department Manager to determine the most appropriate sourcing of external applicants. Recruitment methods may include: </w:t>
      </w:r>
    </w:p>
    <w:p w14:paraId="210BCC1B" w14:textId="77777777" w:rsidR="006B162B" w:rsidRPr="00BA03A0" w:rsidRDefault="005818E7" w:rsidP="0019198C">
      <w:pPr>
        <w:numPr>
          <w:ilvl w:val="0"/>
          <w:numId w:val="5"/>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A</w:t>
      </w:r>
      <w:r w:rsidR="00212038" w:rsidRPr="00BA03A0">
        <w:rPr>
          <w:rFonts w:ascii="Arial" w:eastAsiaTheme="minorHAnsi" w:hAnsi="Arial" w:cs="Arial"/>
          <w:color w:val="auto"/>
          <w:sz w:val="22"/>
          <w:lang w:val="en-AU"/>
        </w:rPr>
        <w:t>dvertising the vacant position in metropolitan or national newspapers</w:t>
      </w:r>
      <w:r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 xml:space="preserve"> </w:t>
      </w:r>
    </w:p>
    <w:p w14:paraId="5CA1FA9A" w14:textId="77777777" w:rsidR="006B162B" w:rsidRPr="00BA03A0" w:rsidRDefault="00212038" w:rsidP="0019198C">
      <w:pPr>
        <w:numPr>
          <w:ilvl w:val="0"/>
          <w:numId w:val="5"/>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Online advertising using the company’s preferred online service provider</w:t>
      </w:r>
      <w:r w:rsidR="005818E7" w:rsidRPr="00BA03A0">
        <w:rPr>
          <w:rFonts w:ascii="Arial" w:eastAsiaTheme="minorHAnsi" w:hAnsi="Arial" w:cs="Arial"/>
          <w:color w:val="auto"/>
          <w:sz w:val="22"/>
          <w:lang w:val="en-AU"/>
        </w:rPr>
        <w:t>,</w:t>
      </w:r>
      <w:r w:rsidRPr="00BA03A0">
        <w:rPr>
          <w:rFonts w:ascii="Arial" w:eastAsiaTheme="minorHAnsi" w:hAnsi="Arial" w:cs="Arial"/>
          <w:color w:val="auto"/>
          <w:sz w:val="22"/>
          <w:lang w:val="en-AU"/>
        </w:rPr>
        <w:t xml:space="preserve"> </w:t>
      </w:r>
    </w:p>
    <w:p w14:paraId="4D17DB22" w14:textId="77777777" w:rsidR="006B162B" w:rsidRPr="00BA03A0" w:rsidRDefault="005818E7" w:rsidP="0019198C">
      <w:pPr>
        <w:numPr>
          <w:ilvl w:val="0"/>
          <w:numId w:val="5"/>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A</w:t>
      </w:r>
      <w:r w:rsidR="00212038" w:rsidRPr="00BA03A0">
        <w:rPr>
          <w:rFonts w:ascii="Arial" w:eastAsiaTheme="minorHAnsi" w:hAnsi="Arial" w:cs="Arial"/>
          <w:color w:val="auto"/>
          <w:sz w:val="22"/>
          <w:lang w:val="en-AU"/>
        </w:rPr>
        <w:t>dvertisements or ‘advertorial’ input in tra</w:t>
      </w:r>
      <w:r w:rsidRPr="00BA03A0">
        <w:rPr>
          <w:rFonts w:ascii="Arial" w:eastAsiaTheme="minorHAnsi" w:hAnsi="Arial" w:cs="Arial"/>
          <w:color w:val="auto"/>
          <w:sz w:val="22"/>
          <w:lang w:val="en-AU"/>
        </w:rPr>
        <w:t>de or professional publications,</w:t>
      </w:r>
    </w:p>
    <w:p w14:paraId="273E847D" w14:textId="77777777" w:rsidR="006B162B" w:rsidRPr="00BA03A0" w:rsidRDefault="005818E7" w:rsidP="0019198C">
      <w:pPr>
        <w:numPr>
          <w:ilvl w:val="0"/>
          <w:numId w:val="5"/>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Internal advertising,</w:t>
      </w:r>
    </w:p>
    <w:p w14:paraId="246D80C9" w14:textId="77777777" w:rsidR="006B162B" w:rsidRPr="00BA03A0" w:rsidRDefault="005818E7" w:rsidP="0019198C">
      <w:pPr>
        <w:numPr>
          <w:ilvl w:val="0"/>
          <w:numId w:val="5"/>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R</w:t>
      </w:r>
      <w:r w:rsidR="00212038" w:rsidRPr="00BA03A0">
        <w:rPr>
          <w:rFonts w:ascii="Arial" w:eastAsiaTheme="minorHAnsi" w:hAnsi="Arial" w:cs="Arial"/>
          <w:color w:val="auto"/>
          <w:sz w:val="22"/>
          <w:lang w:val="en-AU"/>
        </w:rPr>
        <w:t xml:space="preserve">eview of previously received applications (both solicited and unsolicited) held on the company HR files. </w:t>
      </w:r>
    </w:p>
    <w:p w14:paraId="17F25C8A"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lastRenderedPageBreak/>
        <w:t xml:space="preserve">Advertising </w:t>
      </w:r>
    </w:p>
    <w:p w14:paraId="47D4D27B"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Advertisements for vacant positions should adhere to relevant legislative requirements. These advertisements should be placed online and/or in appropriate metropolitan newspapers with due regard for effectiveness of timing, placement and cost. The Department Manager should approve all advertising orders. </w:t>
      </w:r>
    </w:p>
    <w:p w14:paraId="4A9B82F0"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Outsourcing </w:t>
      </w:r>
    </w:p>
    <w:p w14:paraId="4AFB0B40"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In certain circumstances it may be advisable to consider outsourcing the recruitment of particular positions to an external recruitment agency. These circumstances may include: </w:t>
      </w:r>
    </w:p>
    <w:p w14:paraId="1BEB7CD4" w14:textId="77777777" w:rsidR="006B162B" w:rsidRPr="00BA03A0" w:rsidRDefault="0075498C" w:rsidP="0019198C">
      <w:pPr>
        <w:numPr>
          <w:ilvl w:val="0"/>
          <w:numId w:val="6"/>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W</w:t>
      </w:r>
      <w:r w:rsidR="00212038" w:rsidRPr="00BA03A0">
        <w:rPr>
          <w:rFonts w:ascii="Arial" w:eastAsiaTheme="minorHAnsi" w:hAnsi="Arial" w:cs="Arial"/>
          <w:color w:val="auto"/>
          <w:sz w:val="22"/>
          <w:lang w:val="en-AU"/>
        </w:rPr>
        <w:t xml:space="preserve">here the number of positions to be filled requires time and resources not </w:t>
      </w:r>
      <w:r w:rsidR="00D72E6F" w:rsidRPr="00BA03A0">
        <w:rPr>
          <w:rFonts w:ascii="Arial" w:eastAsiaTheme="minorHAnsi" w:hAnsi="Arial" w:cs="Arial"/>
          <w:color w:val="auto"/>
          <w:sz w:val="22"/>
          <w:lang w:val="en-AU"/>
        </w:rPr>
        <w:t>available within John Readings HR Department,</w:t>
      </w:r>
    </w:p>
    <w:p w14:paraId="34209E0B" w14:textId="77777777" w:rsidR="006B162B" w:rsidRPr="00BA03A0" w:rsidRDefault="0075498C" w:rsidP="0019198C">
      <w:pPr>
        <w:numPr>
          <w:ilvl w:val="0"/>
          <w:numId w:val="6"/>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W</w:t>
      </w:r>
      <w:r w:rsidR="00212038" w:rsidRPr="00BA03A0">
        <w:rPr>
          <w:rFonts w:ascii="Arial" w:eastAsiaTheme="minorHAnsi" w:hAnsi="Arial" w:cs="Arial"/>
          <w:color w:val="auto"/>
          <w:sz w:val="22"/>
          <w:lang w:val="en-AU"/>
        </w:rPr>
        <w:t>hen a suitable candidate for a position cannot be found within a reasonable tim</w:t>
      </w:r>
      <w:r w:rsidR="00D72E6F" w:rsidRPr="00BA03A0">
        <w:rPr>
          <w:rFonts w:ascii="Arial" w:eastAsiaTheme="minorHAnsi" w:hAnsi="Arial" w:cs="Arial"/>
          <w:color w:val="auto"/>
          <w:sz w:val="22"/>
          <w:lang w:val="en-AU"/>
        </w:rPr>
        <w:t>e using standard search methods,</w:t>
      </w:r>
    </w:p>
    <w:p w14:paraId="625BDB58" w14:textId="77777777" w:rsidR="006B162B" w:rsidRPr="00BA03A0" w:rsidRDefault="0075498C" w:rsidP="0019198C">
      <w:pPr>
        <w:numPr>
          <w:ilvl w:val="0"/>
          <w:numId w:val="6"/>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F</w:t>
      </w:r>
      <w:r w:rsidR="00212038" w:rsidRPr="00BA03A0">
        <w:rPr>
          <w:rFonts w:ascii="Arial" w:eastAsiaTheme="minorHAnsi" w:hAnsi="Arial" w:cs="Arial"/>
          <w:color w:val="auto"/>
          <w:sz w:val="22"/>
          <w:lang w:val="en-AU"/>
        </w:rPr>
        <w:t>or high-level positions, e</w:t>
      </w:r>
      <w:r w:rsidR="00DC4360"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g</w:t>
      </w:r>
      <w:r w:rsidR="00DC4360"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 xml:space="preserve"> Director to CEO</w:t>
      </w:r>
      <w:r w:rsidR="00D72E6F"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 xml:space="preserve"> </w:t>
      </w:r>
    </w:p>
    <w:p w14:paraId="78FAA684" w14:textId="77777777" w:rsidR="006B162B" w:rsidRPr="00BA03A0" w:rsidRDefault="0075498C" w:rsidP="0019198C">
      <w:pPr>
        <w:numPr>
          <w:ilvl w:val="0"/>
          <w:numId w:val="6"/>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I</w:t>
      </w:r>
      <w:r w:rsidR="00212038" w:rsidRPr="00BA03A0">
        <w:rPr>
          <w:rFonts w:ascii="Arial" w:eastAsiaTheme="minorHAnsi" w:hAnsi="Arial" w:cs="Arial"/>
          <w:color w:val="auto"/>
          <w:sz w:val="22"/>
          <w:lang w:val="en-AU"/>
        </w:rPr>
        <w:t>f the position(s) to be filled requires the recruiter to have a particular or specialist knowledge of the requirements of the vacant position not otherwise</w:t>
      </w:r>
      <w:r w:rsidR="00D72E6F" w:rsidRPr="00BA03A0">
        <w:rPr>
          <w:rFonts w:ascii="Arial" w:eastAsiaTheme="minorHAnsi" w:hAnsi="Arial" w:cs="Arial"/>
          <w:color w:val="auto"/>
          <w:sz w:val="22"/>
          <w:lang w:val="en-AU"/>
        </w:rPr>
        <w:t xml:space="preserve"> available within John Readings, e.g. IT Design Specialist,</w:t>
      </w:r>
    </w:p>
    <w:p w14:paraId="42D31734" w14:textId="77777777" w:rsidR="006B162B" w:rsidRPr="00BA03A0" w:rsidRDefault="0075498C" w:rsidP="0019198C">
      <w:pPr>
        <w:numPr>
          <w:ilvl w:val="0"/>
          <w:numId w:val="6"/>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I</w:t>
      </w:r>
      <w:r w:rsidR="00212038" w:rsidRPr="00BA03A0">
        <w:rPr>
          <w:rFonts w:ascii="Arial" w:eastAsiaTheme="minorHAnsi" w:hAnsi="Arial" w:cs="Arial"/>
          <w:color w:val="auto"/>
          <w:sz w:val="22"/>
          <w:lang w:val="en-AU"/>
        </w:rPr>
        <w:t>f it can be demonstrated that an external agency may have access to quality candidates not otherwise available to John Readings</w:t>
      </w:r>
      <w:r w:rsidR="00D72E6F"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 xml:space="preserve">  </w:t>
      </w:r>
    </w:p>
    <w:p w14:paraId="372E0C78" w14:textId="77777777" w:rsidR="006B162B" w:rsidRPr="00BA03A0" w:rsidRDefault="004756DB" w:rsidP="0019198C">
      <w:pPr>
        <w:numPr>
          <w:ilvl w:val="0"/>
          <w:numId w:val="6"/>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I</w:t>
      </w:r>
      <w:r w:rsidR="00212038" w:rsidRPr="00BA03A0">
        <w:rPr>
          <w:rFonts w:ascii="Arial" w:eastAsiaTheme="minorHAnsi" w:hAnsi="Arial" w:cs="Arial"/>
          <w:color w:val="auto"/>
          <w:sz w:val="22"/>
          <w:lang w:val="en-AU"/>
        </w:rPr>
        <w:t xml:space="preserve">f it can be demonstrated that outsourcing the recruitment for a position would be more efficient and cost effective, while still ensuring that process quality is maintained or improved. </w:t>
      </w:r>
    </w:p>
    <w:p w14:paraId="7CA1249E"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John Readings will only use external recruitment agencies that guarantee EEO compliance. The HR Department will coordinate the use of all such agencies. </w:t>
      </w:r>
    </w:p>
    <w:p w14:paraId="4D06B71C"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lastRenderedPageBreak/>
        <w:t xml:space="preserve">Processing applications </w:t>
      </w:r>
    </w:p>
    <w:p w14:paraId="15AB94CD" w14:textId="77777777" w:rsidR="006B162B" w:rsidRPr="00BA03A0" w:rsidRDefault="00212038" w:rsidP="0019198C">
      <w:pPr>
        <w:spacing w:before="240" w:after="240" w:line="360" w:lineRule="auto"/>
        <w:ind w:left="216"/>
        <w:rPr>
          <w:rFonts w:ascii="Arial" w:eastAsiaTheme="minorHAnsi" w:hAnsi="Arial" w:cs="Arial"/>
          <w:color w:val="auto"/>
          <w:sz w:val="22"/>
          <w:lang w:val="en-AU"/>
        </w:rPr>
      </w:pPr>
      <w:r w:rsidRPr="00BA03A0">
        <w:rPr>
          <w:rFonts w:ascii="Arial" w:eastAsiaTheme="minorHAnsi" w:hAnsi="Arial" w:cs="Arial"/>
          <w:color w:val="auto"/>
          <w:sz w:val="22"/>
          <w:lang w:val="en-AU"/>
        </w:rPr>
        <w:t>All applications will be forwarded to the HR Department. A nominated HR Officer will be responsible for handling an approved vacancy and lia</w:t>
      </w:r>
      <w:r w:rsidR="00027AD3" w:rsidRPr="00BA03A0">
        <w:rPr>
          <w:rFonts w:ascii="Arial" w:eastAsiaTheme="minorHAnsi" w:hAnsi="Arial" w:cs="Arial"/>
          <w:color w:val="auto"/>
          <w:sz w:val="22"/>
          <w:lang w:val="en-AU"/>
        </w:rPr>
        <w:t>i</w:t>
      </w:r>
      <w:r w:rsidRPr="00BA03A0">
        <w:rPr>
          <w:rFonts w:ascii="Arial" w:eastAsiaTheme="minorHAnsi" w:hAnsi="Arial" w:cs="Arial"/>
          <w:color w:val="auto"/>
          <w:sz w:val="22"/>
          <w:lang w:val="en-AU"/>
        </w:rPr>
        <w:t xml:space="preserve">sing with the Department Manager and applicants. The HR Officer will assist the Department Manager by screening the applications and identifying a short list of suitable candidates for interview. Unsuccessful applicants will not be notified until after the first round of interviews has been successfully completed. These applicants are to be notified briefly, in writing, without justification of the decision regarding their application. </w:t>
      </w:r>
    </w:p>
    <w:p w14:paraId="727837F7" w14:textId="77777777" w:rsidR="006B162B" w:rsidRPr="00BA03A0" w:rsidRDefault="00212038" w:rsidP="0019198C">
      <w:pPr>
        <w:pStyle w:val="Heading2"/>
        <w:spacing w:before="240" w:after="240" w:line="360" w:lineRule="auto"/>
        <w:rPr>
          <w:rFonts w:ascii="Arial" w:eastAsia="Times New Roman" w:hAnsi="Arial" w:cs="Arial"/>
          <w:b w:val="0"/>
          <w:color w:val="auto"/>
          <w:sz w:val="22"/>
          <w:u w:val="single"/>
          <w:lang w:eastAsia="en-AU"/>
        </w:rPr>
      </w:pPr>
      <w:r w:rsidRPr="00BA03A0">
        <w:rPr>
          <w:rFonts w:ascii="Arial" w:eastAsia="Times New Roman" w:hAnsi="Arial" w:cs="Arial"/>
          <w:b w:val="0"/>
          <w:color w:val="auto"/>
          <w:sz w:val="22"/>
          <w:u w:val="single"/>
          <w:lang w:eastAsia="en-AU"/>
        </w:rPr>
        <w:t xml:space="preserve">Selection </w:t>
      </w:r>
    </w:p>
    <w:p w14:paraId="0907E11D"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Selection processes </w:t>
      </w:r>
    </w:p>
    <w:p w14:paraId="0E53DC0C"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Short-listed applicants will normally be required to participate in a selection process. Selection processes will be determined by the HR Officer in consultation with the Department Manager, and may include: </w:t>
      </w:r>
    </w:p>
    <w:p w14:paraId="422D68EA" w14:textId="77777777" w:rsidR="006B162B" w:rsidRPr="00BA03A0" w:rsidRDefault="00027AD3" w:rsidP="0019198C">
      <w:pPr>
        <w:numPr>
          <w:ilvl w:val="0"/>
          <w:numId w:val="7"/>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B</w:t>
      </w:r>
      <w:r w:rsidR="00212038" w:rsidRPr="00BA03A0">
        <w:rPr>
          <w:rFonts w:ascii="Arial" w:eastAsiaTheme="minorHAnsi" w:hAnsi="Arial" w:cs="Arial"/>
          <w:color w:val="auto"/>
          <w:sz w:val="22"/>
          <w:lang w:val="en-AU"/>
        </w:rPr>
        <w:t>ehavioural interviews</w:t>
      </w:r>
      <w:r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 xml:space="preserve"> </w:t>
      </w:r>
    </w:p>
    <w:p w14:paraId="631EA775" w14:textId="77777777" w:rsidR="006B162B" w:rsidRPr="00BA03A0" w:rsidRDefault="00027AD3" w:rsidP="0019198C">
      <w:pPr>
        <w:numPr>
          <w:ilvl w:val="0"/>
          <w:numId w:val="7"/>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C</w:t>
      </w:r>
      <w:r w:rsidR="00212038" w:rsidRPr="00BA03A0">
        <w:rPr>
          <w:rFonts w:ascii="Arial" w:eastAsiaTheme="minorHAnsi" w:hAnsi="Arial" w:cs="Arial"/>
          <w:color w:val="auto"/>
          <w:sz w:val="22"/>
          <w:lang w:val="en-AU"/>
        </w:rPr>
        <w:t>ompetency assessment, e</w:t>
      </w:r>
      <w:r w:rsidR="00FD10CE"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g</w:t>
      </w:r>
      <w:r w:rsidR="00FD10CE" w:rsidRPr="00BA03A0">
        <w:rPr>
          <w:rFonts w:ascii="Arial" w:eastAsiaTheme="minorHAnsi" w:hAnsi="Arial" w:cs="Arial"/>
          <w:color w:val="auto"/>
          <w:sz w:val="22"/>
          <w:lang w:val="en-AU"/>
        </w:rPr>
        <w:t>.</w:t>
      </w:r>
      <w:r w:rsidR="00212038" w:rsidRPr="00BA03A0">
        <w:rPr>
          <w:rFonts w:ascii="Arial" w:eastAsiaTheme="minorHAnsi" w:hAnsi="Arial" w:cs="Arial"/>
          <w:color w:val="auto"/>
          <w:sz w:val="22"/>
          <w:lang w:val="en-AU"/>
        </w:rPr>
        <w:t xml:space="preserve"> role-plays, case studies, writt</w:t>
      </w:r>
      <w:r w:rsidRPr="00BA03A0">
        <w:rPr>
          <w:rFonts w:ascii="Arial" w:eastAsiaTheme="minorHAnsi" w:hAnsi="Arial" w:cs="Arial"/>
          <w:color w:val="auto"/>
          <w:sz w:val="22"/>
          <w:lang w:val="en-AU"/>
        </w:rPr>
        <w:t>en or verbal occupational tests,</w:t>
      </w:r>
    </w:p>
    <w:p w14:paraId="2A0B142A" w14:textId="77777777" w:rsidR="006B162B" w:rsidRPr="00BA03A0" w:rsidRDefault="00027AD3" w:rsidP="0019198C">
      <w:pPr>
        <w:numPr>
          <w:ilvl w:val="0"/>
          <w:numId w:val="7"/>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P</w:t>
      </w:r>
      <w:r w:rsidR="00212038" w:rsidRPr="00BA03A0">
        <w:rPr>
          <w:rFonts w:ascii="Arial" w:eastAsiaTheme="minorHAnsi" w:hAnsi="Arial" w:cs="Arial"/>
          <w:color w:val="auto"/>
          <w:sz w:val="22"/>
          <w:lang w:val="en-AU"/>
        </w:rPr>
        <w:t xml:space="preserve">sychometric testing (to be approved by the HR Director). </w:t>
      </w:r>
    </w:p>
    <w:p w14:paraId="06114EE0"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Selection panel </w:t>
      </w:r>
    </w:p>
    <w:p w14:paraId="610BA304" w14:textId="77777777" w:rsidR="006B162B" w:rsidRPr="00BA03A0" w:rsidRDefault="001C386A"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Wherever possible the s</w:t>
      </w:r>
      <w:r w:rsidR="00212038" w:rsidRPr="00BA03A0">
        <w:rPr>
          <w:rFonts w:ascii="Arial" w:eastAsiaTheme="minorHAnsi" w:hAnsi="Arial" w:cs="Arial"/>
          <w:color w:val="auto"/>
          <w:sz w:val="22"/>
          <w:lang w:val="en-AU"/>
        </w:rPr>
        <w:t>election panel should consist of at least two people — the Department Manager and the HR Officer. The HR Officer will brief the other members of the panel on selection techniqu</w:t>
      </w:r>
      <w:r w:rsidR="00193B5D" w:rsidRPr="00BA03A0">
        <w:rPr>
          <w:rFonts w:ascii="Arial" w:eastAsiaTheme="minorHAnsi" w:hAnsi="Arial" w:cs="Arial"/>
          <w:color w:val="auto"/>
          <w:sz w:val="22"/>
          <w:lang w:val="en-AU"/>
        </w:rPr>
        <w:t>es. At least one member of the s</w:t>
      </w:r>
      <w:r w:rsidR="00212038" w:rsidRPr="00BA03A0">
        <w:rPr>
          <w:rFonts w:ascii="Arial" w:eastAsiaTheme="minorHAnsi" w:hAnsi="Arial" w:cs="Arial"/>
          <w:color w:val="auto"/>
          <w:sz w:val="22"/>
          <w:lang w:val="en-AU"/>
        </w:rPr>
        <w:t xml:space="preserve">election panel will have attended interview and selection skills training and/or EEO-awareness training. This person is responsible for controlling the selection process. </w:t>
      </w:r>
    </w:p>
    <w:p w14:paraId="1679C0C6"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lastRenderedPageBreak/>
        <w:t xml:space="preserve">Consistent treatment of applicants </w:t>
      </w:r>
    </w:p>
    <w:p w14:paraId="57E52A1E"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All applicants should be treated consistently, using the same specifications and job-related questions and assessment criteria. </w:t>
      </w:r>
    </w:p>
    <w:p w14:paraId="0D8DB7F7"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Interview questions </w:t>
      </w:r>
    </w:p>
    <w:p w14:paraId="10D723E6" w14:textId="77777777" w:rsidR="006B162B" w:rsidRPr="00BA03A0" w:rsidRDefault="00212038" w:rsidP="0019198C">
      <w:pPr>
        <w:spacing w:before="240" w:after="240" w:line="360" w:lineRule="auto"/>
        <w:ind w:left="360" w:right="233" w:firstLine="0"/>
        <w:jc w:val="both"/>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Questions on EEO principles and occupational health and safety relevant to the position requirements will be included in all interviews for management and supervisory positions. </w:t>
      </w:r>
    </w:p>
    <w:p w14:paraId="2888E5A1"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Documentation </w:t>
      </w:r>
    </w:p>
    <w:p w14:paraId="26DE185F"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Assessment of the applicants together with the </w:t>
      </w:r>
      <w:r w:rsidR="00193B5D" w:rsidRPr="00BA03A0">
        <w:rPr>
          <w:rFonts w:ascii="Arial" w:eastAsiaTheme="minorHAnsi" w:hAnsi="Arial" w:cs="Arial"/>
          <w:color w:val="auto"/>
          <w:sz w:val="22"/>
          <w:lang w:val="en-AU"/>
        </w:rPr>
        <w:t>s</w:t>
      </w:r>
      <w:r w:rsidRPr="00BA03A0">
        <w:rPr>
          <w:rFonts w:ascii="Arial" w:eastAsiaTheme="minorHAnsi" w:hAnsi="Arial" w:cs="Arial"/>
          <w:color w:val="auto"/>
          <w:sz w:val="22"/>
          <w:lang w:val="en-AU"/>
        </w:rPr>
        <w:t xml:space="preserve">election panel’s recommendations must be documented on the Selection Panel Summary Form and returned to the HR Department, where they will be handled in accordance with John Readings Privacy Policy. </w:t>
      </w:r>
    </w:p>
    <w:p w14:paraId="3159C7E8"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Reference checks </w:t>
      </w:r>
    </w:p>
    <w:p w14:paraId="5C56EF7D" w14:textId="77777777" w:rsidR="006B162B" w:rsidRPr="00BA03A0" w:rsidRDefault="00212038" w:rsidP="0019198C">
      <w:pPr>
        <w:spacing w:before="240" w:after="240" w:line="360" w:lineRule="auto"/>
        <w:ind w:left="37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Following selection processes and before a job offer is made, reference checks must be conducted on all recommended applicants by the HR Department. </w:t>
      </w:r>
    </w:p>
    <w:p w14:paraId="0E2E70F2" w14:textId="77777777" w:rsidR="006B162B" w:rsidRPr="00BA03A0" w:rsidRDefault="00212038" w:rsidP="007F3209">
      <w:pPr>
        <w:pStyle w:val="Heading3"/>
        <w:numPr>
          <w:ilvl w:val="0"/>
          <w:numId w:val="9"/>
        </w:numPr>
        <w:spacing w:before="240" w:after="240" w:line="360" w:lineRule="auto"/>
        <w:rPr>
          <w:rFonts w:ascii="Arial" w:eastAsia="Times New Roman" w:hAnsi="Arial" w:cs="Arial"/>
          <w:color w:val="auto"/>
          <w:sz w:val="22"/>
          <w:lang w:eastAsia="en-AU"/>
        </w:rPr>
      </w:pPr>
      <w:r w:rsidRPr="00BA03A0">
        <w:rPr>
          <w:rFonts w:ascii="Arial" w:eastAsia="Times New Roman" w:hAnsi="Arial" w:cs="Arial"/>
          <w:color w:val="auto"/>
          <w:sz w:val="22"/>
          <w:lang w:eastAsia="en-AU"/>
        </w:rPr>
        <w:t xml:space="preserve">Notification of selection outcomes </w:t>
      </w:r>
    </w:p>
    <w:p w14:paraId="26AFA1EC" w14:textId="77777777" w:rsidR="006B162B" w:rsidRPr="00BA03A0" w:rsidRDefault="00212038" w:rsidP="0019198C">
      <w:pPr>
        <w:numPr>
          <w:ilvl w:val="0"/>
          <w:numId w:val="8"/>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When notifying candidates of the outcome of an application, rejection letters should not be sent out until after the first round of interviews </w:t>
      </w:r>
      <w:r w:rsidR="00FD10CE" w:rsidRPr="00BA03A0">
        <w:rPr>
          <w:rFonts w:ascii="Arial" w:eastAsiaTheme="minorHAnsi" w:hAnsi="Arial" w:cs="Arial"/>
          <w:color w:val="auto"/>
          <w:sz w:val="22"/>
          <w:lang w:val="en-AU"/>
        </w:rPr>
        <w:t>with candidates have been held,</w:t>
      </w:r>
    </w:p>
    <w:p w14:paraId="3AE3A271" w14:textId="77777777" w:rsidR="006B162B" w:rsidRPr="00BA03A0" w:rsidRDefault="00212038" w:rsidP="0019198C">
      <w:pPr>
        <w:numPr>
          <w:ilvl w:val="0"/>
          <w:numId w:val="8"/>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No feedback is to be given to unsuccessful candidates regarding the quality of their written application or interview performance, or the reasons for the decisio</w:t>
      </w:r>
      <w:r w:rsidR="00193B5D" w:rsidRPr="00BA03A0">
        <w:rPr>
          <w:rFonts w:ascii="Arial" w:eastAsiaTheme="minorHAnsi" w:hAnsi="Arial" w:cs="Arial"/>
          <w:color w:val="auto"/>
          <w:sz w:val="22"/>
          <w:lang w:val="en-AU"/>
        </w:rPr>
        <w:t>ns made by the s</w:t>
      </w:r>
      <w:r w:rsidR="00FD10CE" w:rsidRPr="00BA03A0">
        <w:rPr>
          <w:rFonts w:ascii="Arial" w:eastAsiaTheme="minorHAnsi" w:hAnsi="Arial" w:cs="Arial"/>
          <w:color w:val="auto"/>
          <w:sz w:val="22"/>
          <w:lang w:val="en-AU"/>
        </w:rPr>
        <w:t>election panel,</w:t>
      </w:r>
    </w:p>
    <w:p w14:paraId="49DB9C5F" w14:textId="77777777" w:rsidR="006B162B" w:rsidRPr="00BA03A0" w:rsidRDefault="00212038" w:rsidP="0019198C">
      <w:pPr>
        <w:numPr>
          <w:ilvl w:val="0"/>
          <w:numId w:val="8"/>
        </w:numPr>
        <w:spacing w:before="240" w:after="240" w:line="360" w:lineRule="auto"/>
        <w:ind w:hanging="360"/>
        <w:rPr>
          <w:rFonts w:ascii="Arial" w:eastAsiaTheme="minorHAnsi" w:hAnsi="Arial" w:cs="Arial"/>
          <w:color w:val="auto"/>
          <w:sz w:val="22"/>
          <w:lang w:val="en-AU"/>
        </w:rPr>
      </w:pPr>
      <w:r w:rsidRPr="00BA03A0">
        <w:rPr>
          <w:rFonts w:ascii="Arial" w:eastAsiaTheme="minorHAnsi" w:hAnsi="Arial" w:cs="Arial"/>
          <w:color w:val="auto"/>
          <w:sz w:val="22"/>
          <w:lang w:val="en-AU"/>
        </w:rPr>
        <w:t xml:space="preserve">Offers of employment will be made in writing when all selection procedures have been completed. The letter of offer will contain details of standard conditions of employment and any special </w:t>
      </w:r>
      <w:r w:rsidRPr="00BA03A0">
        <w:rPr>
          <w:rFonts w:ascii="Arial" w:eastAsiaTheme="minorHAnsi" w:hAnsi="Arial" w:cs="Arial"/>
          <w:color w:val="auto"/>
          <w:sz w:val="22"/>
          <w:lang w:val="en-AU"/>
        </w:rPr>
        <w:lastRenderedPageBreak/>
        <w:t>conditions relating to the position. The applicant must return a signed copy of the letter of offer f</w:t>
      </w:r>
      <w:r w:rsidR="00FD10CE" w:rsidRPr="00BA03A0">
        <w:rPr>
          <w:rFonts w:ascii="Arial" w:eastAsiaTheme="minorHAnsi" w:hAnsi="Arial" w:cs="Arial"/>
          <w:color w:val="auto"/>
          <w:sz w:val="22"/>
          <w:lang w:val="en-AU"/>
        </w:rPr>
        <w:t>ormally accepting the position,</w:t>
      </w:r>
    </w:p>
    <w:p w14:paraId="7CB7C966" w14:textId="5C7E38E5" w:rsidR="00CC337E" w:rsidRPr="00BA03A0" w:rsidRDefault="00212038" w:rsidP="00BA03A0">
      <w:pPr>
        <w:numPr>
          <w:ilvl w:val="0"/>
          <w:numId w:val="8"/>
        </w:numPr>
        <w:spacing w:before="240" w:after="240" w:line="360" w:lineRule="auto"/>
        <w:ind w:hanging="360"/>
        <w:rPr>
          <w:rFonts w:ascii="Arial" w:hAnsi="Arial" w:cs="Arial"/>
          <w:sz w:val="22"/>
        </w:rPr>
      </w:pPr>
      <w:r w:rsidRPr="00BA03A0">
        <w:rPr>
          <w:rFonts w:ascii="Arial" w:eastAsiaTheme="minorHAnsi" w:hAnsi="Arial" w:cs="Arial"/>
          <w:color w:val="auto"/>
          <w:sz w:val="22"/>
          <w:lang w:val="en-AU"/>
        </w:rPr>
        <w:t>Salary offers in most cases will be determined by the HR Department and must clearly demonstrate equity in relation to positions at a similar level.</w:t>
      </w:r>
      <w:r w:rsidRPr="00BA03A0">
        <w:rPr>
          <w:rFonts w:ascii="Arial" w:hAnsi="Arial" w:cs="Arial"/>
          <w:sz w:val="22"/>
        </w:rPr>
        <w:t xml:space="preserve"> </w:t>
      </w:r>
      <w:bookmarkStart w:id="0" w:name="_GoBack"/>
      <w:bookmarkEnd w:id="0"/>
    </w:p>
    <w:p w14:paraId="31B6486A" w14:textId="77777777" w:rsidR="00CC337E" w:rsidRPr="00BA03A0" w:rsidRDefault="00CC337E" w:rsidP="009152A0">
      <w:pPr>
        <w:spacing w:before="240" w:after="240" w:line="360" w:lineRule="auto"/>
        <w:ind w:left="1" w:firstLine="0"/>
        <w:rPr>
          <w:rFonts w:ascii="Arial" w:eastAsia="Times New Roman" w:hAnsi="Arial" w:cs="Arial"/>
          <w:b/>
          <w:i/>
          <w:color w:val="auto"/>
          <w:sz w:val="22"/>
          <w:lang w:eastAsia="en-AU"/>
        </w:rPr>
      </w:pPr>
      <w:r w:rsidRPr="00BA03A0">
        <w:rPr>
          <w:rFonts w:ascii="Arial" w:eastAsia="Times New Roman" w:hAnsi="Arial" w:cs="Arial"/>
          <w:b/>
          <w:i/>
          <w:color w:val="auto"/>
          <w:sz w:val="22"/>
          <w:lang w:eastAsia="en-AU"/>
        </w:rPr>
        <w:t xml:space="preserve">IMPORTANT! This is a sample policy that students should read critically. It may have shortcomings or omissions. </w:t>
      </w:r>
    </w:p>
    <w:sectPr w:rsidR="00CC337E" w:rsidRPr="00BA03A0" w:rsidSect="00BA03A0">
      <w:headerReference w:type="even" r:id="rId7"/>
      <w:headerReference w:type="default" r:id="rId8"/>
      <w:footerReference w:type="even" r:id="rId9"/>
      <w:footerReference w:type="default" r:id="rId10"/>
      <w:headerReference w:type="first" r:id="rId11"/>
      <w:footerReference w:type="first" r:id="rId12"/>
      <w:pgSz w:w="11906" w:h="16838"/>
      <w:pgMar w:top="1488" w:right="1812" w:bottom="2278" w:left="1798" w:header="873"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2967" w14:textId="77777777" w:rsidR="003B48F6" w:rsidRDefault="003B48F6">
      <w:pPr>
        <w:spacing w:after="0" w:line="240" w:lineRule="auto"/>
      </w:pPr>
      <w:r>
        <w:separator/>
      </w:r>
    </w:p>
  </w:endnote>
  <w:endnote w:type="continuationSeparator" w:id="0">
    <w:p w14:paraId="7847BD8C" w14:textId="77777777" w:rsidR="003B48F6" w:rsidRDefault="003B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25EA" w14:textId="77777777" w:rsidR="006B162B" w:rsidRDefault="00212038">
    <w:pPr>
      <w:spacing w:after="79" w:line="242" w:lineRule="auto"/>
      <w:ind w:left="1" w:firstLine="0"/>
      <w:jc w:val="center"/>
    </w:pPr>
    <w:r>
      <w:rPr>
        <w:noProof/>
        <w:sz w:val="22"/>
      </w:rPr>
      <mc:AlternateContent>
        <mc:Choice Requires="wpg">
          <w:drawing>
            <wp:anchor distT="0" distB="0" distL="114300" distR="114300" simplePos="0" relativeHeight="251658240" behindDoc="0" locked="0" layoutInCell="1" allowOverlap="1" wp14:anchorId="309FAA93" wp14:editId="785F83C5">
              <wp:simplePos x="0" y="0"/>
              <wp:positionH relativeFrom="page">
                <wp:posOffset>1123493</wp:posOffset>
              </wp:positionH>
              <wp:positionV relativeFrom="page">
                <wp:posOffset>9349486</wp:posOffset>
              </wp:positionV>
              <wp:extent cx="5315077" cy="6096"/>
              <wp:effectExtent l="0" t="0" r="0" b="0"/>
              <wp:wrapSquare wrapText="bothSides"/>
              <wp:docPr id="12992" name="Group 12992"/>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3125" name="Shape 13125"/>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92" style="width:418.51pt;height:0.47998pt;position:absolute;mso-position-horizontal-relative:page;mso-position-horizontal:absolute;margin-left:88.464pt;mso-position-vertical-relative:page;margin-top:736.18pt;" coordsize="53150,60">
              <v:shape id="Shape 13126" style="position:absolute;width:53150;height:91;left:0;top:0;" coordsize="5315077,9144" path="m0,0l5315077,0l5315077,9144l0,9144l0,0">
                <v:stroke weight="0pt" endcap="flat" joinstyle="miter" miterlimit="10" on="false" color="#000000" opacity="0"/>
                <v:fill on="true" color="#000000"/>
              </v:shape>
              <w10:wrap type="square"/>
            </v:group>
          </w:pict>
        </mc:Fallback>
      </mc:AlternateContent>
    </w:r>
    <w:r>
      <w:rPr>
        <w:rFonts w:ascii="Verdana" w:eastAsia="Verdana" w:hAnsi="Verdana" w:cs="Verdana"/>
        <w:b/>
        <w:sz w:val="20"/>
      </w:rPr>
      <w:t xml:space="preserve">IMPORTANT! This is a sample policy that students should read critically. It may have shortcomings or omissions. </w:t>
    </w:r>
  </w:p>
  <w:p w14:paraId="445146B8" w14:textId="77777777" w:rsidR="006B162B" w:rsidRDefault="00212038">
    <w:pPr>
      <w:spacing w:after="103" w:line="259" w:lineRule="auto"/>
      <w:ind w:left="11" w:firstLine="0"/>
      <w:jc w:val="center"/>
    </w:pPr>
    <w:r>
      <w:rPr>
        <w:rFonts w:ascii="Verdana" w:eastAsia="Verdana" w:hAnsi="Verdana" w:cs="Verdana"/>
        <w:sz w:val="16"/>
      </w:rPr>
      <w:t xml:space="preserve">JOHN READINGS  IS A FICTITIOUS COMPANY CREATED FOR EDUCATION &amp; TRAINING PURPOSES </w:t>
    </w:r>
  </w:p>
  <w:p w14:paraId="7D12E0F7" w14:textId="77777777" w:rsidR="006B162B" w:rsidRDefault="00212038">
    <w:pPr>
      <w:spacing w:after="0" w:line="259" w:lineRule="auto"/>
      <w:ind w:left="15" w:firstLine="0"/>
      <w:jc w:val="center"/>
    </w:pPr>
    <w:r>
      <w:rPr>
        <w:rFonts w:ascii="Verdana" w:eastAsia="Verdana" w:hAnsi="Verdana" w:cs="Verdana"/>
        <w:sz w:val="16"/>
      </w:rPr>
      <w:t xml:space="preserve">©2011 The College for Adult Learning              Diploma of HRM                                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3B48F6">
      <w:fldChar w:fldCharType="begin"/>
    </w:r>
    <w:r w:rsidR="003B48F6">
      <w:instrText xml:space="preserve"> NUMPAGES   \* MERGEFORMAT </w:instrText>
    </w:r>
    <w:r w:rsidR="003B48F6">
      <w:fldChar w:fldCharType="separate"/>
    </w:r>
    <w:r w:rsidR="00444EBB" w:rsidRPr="00444EBB">
      <w:rPr>
        <w:rFonts w:ascii="Verdana" w:eastAsia="Verdana" w:hAnsi="Verdana" w:cs="Verdana"/>
        <w:noProof/>
        <w:sz w:val="16"/>
      </w:rPr>
      <w:t>5</w:t>
    </w:r>
    <w:r w:rsidR="003B48F6">
      <w:rPr>
        <w:rFonts w:ascii="Verdana" w:eastAsia="Verdana" w:hAnsi="Verdana" w:cs="Verdana"/>
        <w:noProof/>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5810" w14:textId="53C68E03" w:rsidR="00F93ED7" w:rsidRPr="00BA03A0" w:rsidRDefault="00F93ED7" w:rsidP="00F93ED7">
    <w:pPr>
      <w:pStyle w:val="Footer"/>
      <w:spacing w:after="240" w:line="360" w:lineRule="auto"/>
      <w:rPr>
        <w:rFonts w:ascii="Arial" w:hAnsi="Arial" w:cs="Arial"/>
        <w:sz w:val="20"/>
        <w:szCs w:val="20"/>
      </w:rPr>
    </w:pPr>
    <w:r w:rsidRPr="00BA03A0">
      <w:rPr>
        <w:rFonts w:ascii="Arial" w:hAnsi="Arial" w:cs="Arial"/>
        <w:sz w:val="20"/>
        <w:szCs w:val="20"/>
      </w:rPr>
      <w:t>©2017 College for Adult Learning TOID 22228</w:t>
    </w:r>
    <w:r w:rsidRPr="00BA03A0">
      <w:rPr>
        <w:rFonts w:ascii="Arial" w:hAnsi="Arial" w:cs="Arial"/>
        <w:sz w:val="20"/>
        <w:szCs w:val="20"/>
      </w:rPr>
      <w:tab/>
      <w:t xml:space="preserve">                                                      Page </w:t>
    </w:r>
    <w:r w:rsidRPr="00BA03A0">
      <w:rPr>
        <w:rFonts w:ascii="Arial" w:hAnsi="Arial" w:cs="Arial"/>
        <w:b/>
        <w:bCs/>
        <w:sz w:val="20"/>
        <w:szCs w:val="20"/>
      </w:rPr>
      <w:fldChar w:fldCharType="begin"/>
    </w:r>
    <w:r w:rsidRPr="00BA03A0">
      <w:rPr>
        <w:rFonts w:ascii="Arial" w:hAnsi="Arial" w:cs="Arial"/>
        <w:b/>
        <w:bCs/>
        <w:sz w:val="20"/>
        <w:szCs w:val="20"/>
      </w:rPr>
      <w:instrText xml:space="preserve"> PAGE </w:instrText>
    </w:r>
    <w:r w:rsidRPr="00BA03A0">
      <w:rPr>
        <w:rFonts w:ascii="Arial" w:hAnsi="Arial" w:cs="Arial"/>
        <w:b/>
        <w:bCs/>
        <w:sz w:val="20"/>
        <w:szCs w:val="20"/>
      </w:rPr>
      <w:fldChar w:fldCharType="separate"/>
    </w:r>
    <w:r w:rsidR="007E45F0" w:rsidRPr="00BA03A0">
      <w:rPr>
        <w:rFonts w:ascii="Arial" w:hAnsi="Arial" w:cs="Arial"/>
        <w:b/>
        <w:bCs/>
        <w:noProof/>
        <w:sz w:val="20"/>
        <w:szCs w:val="20"/>
      </w:rPr>
      <w:t>1</w:t>
    </w:r>
    <w:r w:rsidRPr="00BA03A0">
      <w:rPr>
        <w:rFonts w:ascii="Arial" w:hAnsi="Arial" w:cs="Arial"/>
        <w:b/>
        <w:bCs/>
        <w:sz w:val="20"/>
        <w:szCs w:val="20"/>
      </w:rPr>
      <w:fldChar w:fldCharType="end"/>
    </w:r>
    <w:r w:rsidRPr="00BA03A0">
      <w:rPr>
        <w:rFonts w:ascii="Arial" w:hAnsi="Arial" w:cs="Arial"/>
        <w:sz w:val="20"/>
        <w:szCs w:val="20"/>
      </w:rPr>
      <w:t xml:space="preserve"> of </w:t>
    </w:r>
    <w:r w:rsidRPr="00BA03A0">
      <w:rPr>
        <w:rFonts w:ascii="Arial" w:hAnsi="Arial" w:cs="Arial"/>
        <w:b/>
        <w:bCs/>
        <w:sz w:val="20"/>
        <w:szCs w:val="20"/>
      </w:rPr>
      <w:fldChar w:fldCharType="begin"/>
    </w:r>
    <w:r w:rsidRPr="00BA03A0">
      <w:rPr>
        <w:rFonts w:ascii="Arial" w:hAnsi="Arial" w:cs="Arial"/>
        <w:b/>
        <w:bCs/>
        <w:sz w:val="20"/>
        <w:szCs w:val="20"/>
      </w:rPr>
      <w:instrText xml:space="preserve"> NUMPAGES  </w:instrText>
    </w:r>
    <w:r w:rsidRPr="00BA03A0">
      <w:rPr>
        <w:rFonts w:ascii="Arial" w:hAnsi="Arial" w:cs="Arial"/>
        <w:b/>
        <w:bCs/>
        <w:sz w:val="20"/>
        <w:szCs w:val="20"/>
      </w:rPr>
      <w:fldChar w:fldCharType="separate"/>
    </w:r>
    <w:r w:rsidR="007E45F0" w:rsidRPr="00BA03A0">
      <w:rPr>
        <w:rFonts w:ascii="Arial" w:hAnsi="Arial" w:cs="Arial"/>
        <w:b/>
        <w:bCs/>
        <w:noProof/>
        <w:sz w:val="20"/>
        <w:szCs w:val="20"/>
      </w:rPr>
      <w:t>5</w:t>
    </w:r>
    <w:r w:rsidRPr="00BA03A0">
      <w:rPr>
        <w:rFonts w:ascii="Arial" w:hAnsi="Arial" w:cs="Arial"/>
        <w:b/>
        <w:bCs/>
        <w:sz w:val="20"/>
        <w:szCs w:val="20"/>
      </w:rPr>
      <w:fldChar w:fldCharType="end"/>
    </w:r>
  </w:p>
  <w:p w14:paraId="1F58065A" w14:textId="77777777" w:rsidR="006B162B" w:rsidRPr="00BA03A0" w:rsidRDefault="00F93ED7" w:rsidP="00F93ED7">
    <w:pPr>
      <w:pStyle w:val="Footer"/>
      <w:spacing w:after="240" w:line="360" w:lineRule="auto"/>
      <w:jc w:val="center"/>
      <w:rPr>
        <w:rFonts w:ascii="Arial" w:hAnsi="Arial" w:cs="Arial"/>
        <w:sz w:val="18"/>
        <w:szCs w:val="18"/>
      </w:rPr>
    </w:pPr>
    <w:r w:rsidRPr="00BA03A0">
      <w:rPr>
        <w:rFonts w:ascii="Arial" w:hAnsi="Arial" w:cs="Arial"/>
        <w:sz w:val="18"/>
        <w:szCs w:val="18"/>
      </w:rPr>
      <w:t>John Readings is a fictitious company created for education and training purposes</w:t>
    </w:r>
    <w:r w:rsidRPr="00BA03A0">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5E64" w14:textId="77777777" w:rsidR="006B162B" w:rsidRDefault="00212038">
    <w:pPr>
      <w:spacing w:after="79" w:line="242" w:lineRule="auto"/>
      <w:ind w:left="1" w:firstLine="0"/>
      <w:jc w:val="center"/>
    </w:pPr>
    <w:r>
      <w:rPr>
        <w:noProof/>
        <w:sz w:val="22"/>
      </w:rPr>
      <mc:AlternateContent>
        <mc:Choice Requires="wpg">
          <w:drawing>
            <wp:anchor distT="0" distB="0" distL="114300" distR="114300" simplePos="0" relativeHeight="251660288" behindDoc="0" locked="0" layoutInCell="1" allowOverlap="1" wp14:anchorId="034F0984" wp14:editId="0A2CC4A1">
              <wp:simplePos x="0" y="0"/>
              <wp:positionH relativeFrom="page">
                <wp:posOffset>1123493</wp:posOffset>
              </wp:positionH>
              <wp:positionV relativeFrom="page">
                <wp:posOffset>9349486</wp:posOffset>
              </wp:positionV>
              <wp:extent cx="5315077" cy="6096"/>
              <wp:effectExtent l="0" t="0" r="0" b="0"/>
              <wp:wrapSquare wrapText="bothSides"/>
              <wp:docPr id="12900" name="Group 12900"/>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3121" name="Shape 13121"/>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00" style="width:418.51pt;height:0.47998pt;position:absolute;mso-position-horizontal-relative:page;mso-position-horizontal:absolute;margin-left:88.464pt;mso-position-vertical-relative:page;margin-top:736.18pt;" coordsize="53150,60">
              <v:shape id="Shape 13122" style="position:absolute;width:53150;height:91;left:0;top:0;" coordsize="5315077,9144" path="m0,0l5315077,0l5315077,9144l0,9144l0,0">
                <v:stroke weight="0pt" endcap="flat" joinstyle="miter" miterlimit="10" on="false" color="#000000" opacity="0"/>
                <v:fill on="true" color="#000000"/>
              </v:shape>
              <w10:wrap type="square"/>
            </v:group>
          </w:pict>
        </mc:Fallback>
      </mc:AlternateContent>
    </w:r>
    <w:r>
      <w:rPr>
        <w:rFonts w:ascii="Verdana" w:eastAsia="Verdana" w:hAnsi="Verdana" w:cs="Verdana"/>
        <w:b/>
        <w:sz w:val="20"/>
      </w:rPr>
      <w:t xml:space="preserve">IMPORTANT! This is a sample policy that students should read critically. It may have shortcomings or omissions. </w:t>
    </w:r>
  </w:p>
  <w:p w14:paraId="4E95E5EA" w14:textId="77777777" w:rsidR="006B162B" w:rsidRDefault="00212038">
    <w:pPr>
      <w:spacing w:after="103" w:line="259" w:lineRule="auto"/>
      <w:ind w:left="11" w:firstLine="0"/>
      <w:jc w:val="center"/>
    </w:pPr>
    <w:r>
      <w:rPr>
        <w:rFonts w:ascii="Verdana" w:eastAsia="Verdana" w:hAnsi="Verdana" w:cs="Verdana"/>
        <w:sz w:val="16"/>
      </w:rPr>
      <w:t xml:space="preserve">JOHN READINGS  IS A FICTITIOUS COMPANY CREATED FOR EDUCATION &amp; TRAINING PURPOSES </w:t>
    </w:r>
  </w:p>
  <w:p w14:paraId="67A215B3" w14:textId="77777777" w:rsidR="006B162B" w:rsidRDefault="00212038">
    <w:pPr>
      <w:spacing w:after="0" w:line="259" w:lineRule="auto"/>
      <w:ind w:left="15" w:firstLine="0"/>
      <w:jc w:val="center"/>
    </w:pPr>
    <w:r>
      <w:rPr>
        <w:rFonts w:ascii="Verdana" w:eastAsia="Verdana" w:hAnsi="Verdana" w:cs="Verdana"/>
        <w:sz w:val="16"/>
      </w:rPr>
      <w:t xml:space="preserve">©2011 The College for Adult Learning              Diploma of HRM                                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3B48F6">
      <w:fldChar w:fldCharType="begin"/>
    </w:r>
    <w:r w:rsidR="003B48F6">
      <w:instrText xml:space="preserve"> NUMPAGES   \* MERGEFORMAT </w:instrText>
    </w:r>
    <w:r w:rsidR="003B48F6">
      <w:fldChar w:fldCharType="separate"/>
    </w:r>
    <w:r w:rsidR="00444EBB" w:rsidRPr="00444EBB">
      <w:rPr>
        <w:rFonts w:ascii="Verdana" w:eastAsia="Verdana" w:hAnsi="Verdana" w:cs="Verdana"/>
        <w:noProof/>
        <w:sz w:val="16"/>
      </w:rPr>
      <w:t>5</w:t>
    </w:r>
    <w:r w:rsidR="003B48F6">
      <w:rPr>
        <w:rFonts w:ascii="Verdana" w:eastAsia="Verdana" w:hAnsi="Verdana" w:cs="Verdana"/>
        <w:noProof/>
        <w:sz w:val="16"/>
      </w:rPr>
      <w:fldChar w:fldCharType="end"/>
    </w: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B813" w14:textId="77777777" w:rsidR="003B48F6" w:rsidRDefault="003B48F6">
      <w:pPr>
        <w:spacing w:after="0" w:line="240" w:lineRule="auto"/>
      </w:pPr>
      <w:r>
        <w:separator/>
      </w:r>
    </w:p>
  </w:footnote>
  <w:footnote w:type="continuationSeparator" w:id="0">
    <w:p w14:paraId="06DF51BE" w14:textId="77777777" w:rsidR="003B48F6" w:rsidRDefault="003B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53C5" w14:textId="77777777" w:rsidR="006B162B" w:rsidRDefault="00212038">
    <w:pPr>
      <w:spacing w:after="0" w:line="259" w:lineRule="auto"/>
      <w:ind w:left="14" w:firstLine="0"/>
      <w:jc w:val="center"/>
    </w:pPr>
    <w:r>
      <w:rPr>
        <w:rFonts w:ascii="Verdana" w:eastAsia="Verdana" w:hAnsi="Verdana" w:cs="Verdana"/>
        <w:b/>
        <w:color w:val="999999"/>
        <w:sz w:val="18"/>
      </w:rPr>
      <w:t xml:space="preserve">John Readings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8A9F" w14:textId="77777777" w:rsidR="00BA03A0" w:rsidRPr="00EB0EE1" w:rsidRDefault="00BA03A0" w:rsidP="00BA03A0">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3360" behindDoc="0" locked="0" layoutInCell="1" allowOverlap="1" wp14:anchorId="710AC1A9" wp14:editId="44B470AC">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05AC9" w14:textId="77777777" w:rsidR="00BA03A0" w:rsidRPr="00250776" w:rsidRDefault="00BA03A0" w:rsidP="00BA03A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2A7A8AF" w14:textId="77777777" w:rsidR="00BA03A0" w:rsidRPr="00250776" w:rsidRDefault="00BA03A0" w:rsidP="00BA03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AC1A9"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2005AC9" w14:textId="77777777" w:rsidR="00BA03A0" w:rsidRPr="00250776" w:rsidRDefault="00BA03A0" w:rsidP="00BA03A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2A7A8AF" w14:textId="77777777" w:rsidR="00BA03A0" w:rsidRPr="00250776" w:rsidRDefault="00BA03A0" w:rsidP="00BA03A0">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2336" behindDoc="0" locked="0" layoutInCell="1" allowOverlap="1" wp14:anchorId="59534F20" wp14:editId="6C0F53E4">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C820DA" w14:textId="77777777" w:rsidR="00BA03A0" w:rsidRDefault="00BA03A0" w:rsidP="00BA03A0">
                          <w:r w:rsidRPr="00966BA6">
                            <w:rPr>
                              <w:noProof/>
                              <w:lang w:eastAsia="en-AU"/>
                            </w:rPr>
                            <w:drawing>
                              <wp:inline distT="0" distB="0" distL="0" distR="0" wp14:anchorId="4883547F" wp14:editId="714D6E97">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4F20" id="Text Box 1" o:spid="_x0000_s1027" type="#_x0000_t202" style="position:absolute;left:0;text-align:left;margin-left:287.2pt;margin-top:-34.1pt;width:201.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CC820DA" w14:textId="77777777" w:rsidR="00BA03A0" w:rsidRDefault="00BA03A0" w:rsidP="00BA03A0">
                    <w:r w:rsidRPr="00966BA6">
                      <w:rPr>
                        <w:noProof/>
                        <w:lang w:eastAsia="en-AU"/>
                      </w:rPr>
                      <w:drawing>
                        <wp:inline distT="0" distB="0" distL="0" distR="0" wp14:anchorId="4883547F" wp14:editId="714D6E97">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FE0CEEE" w14:textId="0C8A95E7" w:rsidR="009D5C5D" w:rsidRPr="00B77FAB" w:rsidRDefault="009D5C5D" w:rsidP="009D5C5D">
    <w:pPr>
      <w:pStyle w:val="Header"/>
      <w:tabs>
        <w:tab w:val="clear" w:pos="4513"/>
        <w:tab w:val="clear" w:pos="9026"/>
        <w:tab w:val="left" w:pos="6195"/>
      </w:tabs>
      <w:rPr>
        <w:rFonts w:ascii="Calibri" w:hAnsi="Calibri"/>
        <w:b/>
        <w:sz w:val="20"/>
        <w:szCs w:val="20"/>
      </w:rPr>
    </w:pPr>
    <w:r w:rsidRPr="00B77FAB">
      <w:rPr>
        <w:rFonts w:ascii="Calibri" w:hAnsi="Calibri"/>
        <w:b/>
        <w:sz w:val="20"/>
        <w:szCs w:val="20"/>
      </w:rPr>
      <w:tab/>
    </w:r>
  </w:p>
  <w:p w14:paraId="2E6F6012" w14:textId="77777777" w:rsidR="006B162B" w:rsidRDefault="006B162B">
    <w:pPr>
      <w:spacing w:after="0" w:line="259" w:lineRule="auto"/>
      <w:ind w:left="14"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5DF0" w14:textId="77777777" w:rsidR="006B162B" w:rsidRDefault="00212038">
    <w:pPr>
      <w:spacing w:after="0" w:line="259" w:lineRule="auto"/>
      <w:ind w:left="14" w:firstLine="0"/>
      <w:jc w:val="center"/>
    </w:pPr>
    <w:r>
      <w:rPr>
        <w:rFonts w:ascii="Verdana" w:eastAsia="Verdana" w:hAnsi="Verdana" w:cs="Verdana"/>
        <w:b/>
        <w:color w:val="999999"/>
        <w:sz w:val="18"/>
      </w:rPr>
      <w:t xml:space="preserve">John Readings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11E2"/>
    <w:multiLevelType w:val="hybridMultilevel"/>
    <w:tmpl w:val="59326D9E"/>
    <w:lvl w:ilvl="0" w:tplc="E326A37A">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12D466">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C714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3C464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A88D8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828F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7A2D3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4E2A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5EE36A">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E532C"/>
    <w:multiLevelType w:val="hybridMultilevel"/>
    <w:tmpl w:val="17F2F3D0"/>
    <w:lvl w:ilvl="0" w:tplc="CC28A464">
      <w:start w:val="1"/>
      <w:numFmt w:val="bullet"/>
      <w:lvlText w:val=""/>
      <w:lvlJc w:val="left"/>
      <w:pPr>
        <w:ind w:left="142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89F046A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A71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321D1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23708">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3A3AA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F0EEF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DCCB5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1E3DD4">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7E6219"/>
    <w:multiLevelType w:val="hybridMultilevel"/>
    <w:tmpl w:val="24B6DBFA"/>
    <w:lvl w:ilvl="0" w:tplc="CC28A464">
      <w:start w:val="1"/>
      <w:numFmt w:val="bullet"/>
      <w:lvlText w:val=""/>
      <w:lvlJc w:val="left"/>
      <w:pPr>
        <w:ind w:left="142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A9AB62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7627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E6FF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72F6B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A0D3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7468F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8E9E7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8A0B9E">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7E7FBF"/>
    <w:multiLevelType w:val="hybridMultilevel"/>
    <w:tmpl w:val="17660D2C"/>
    <w:lvl w:ilvl="0" w:tplc="CC28A464">
      <w:start w:val="1"/>
      <w:numFmt w:val="bullet"/>
      <w:lvlText w:val=""/>
      <w:lvlJc w:val="left"/>
      <w:pPr>
        <w:ind w:left="142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F612D466">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C714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3C464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A88D8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828F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7A2D3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4E2A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5EE36A">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B5153B"/>
    <w:multiLevelType w:val="hybridMultilevel"/>
    <w:tmpl w:val="4052D60E"/>
    <w:lvl w:ilvl="0" w:tplc="8A926A82">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F046A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A71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321D1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23708">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3A3AA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F0EEF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DCCB5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1E3DD4">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F37F89"/>
    <w:multiLevelType w:val="hybridMultilevel"/>
    <w:tmpl w:val="23909FD8"/>
    <w:lvl w:ilvl="0" w:tplc="98B25F80">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EC8E8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EE9E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C3FA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8CBF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6C54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A9FB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6AFEB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0E865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5C3BD0"/>
    <w:multiLevelType w:val="hybridMultilevel"/>
    <w:tmpl w:val="B344C01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75B20322"/>
    <w:multiLevelType w:val="hybridMultilevel"/>
    <w:tmpl w:val="C97886B8"/>
    <w:lvl w:ilvl="0" w:tplc="CC28A464">
      <w:start w:val="1"/>
      <w:numFmt w:val="bullet"/>
      <w:lvlText w:val=""/>
      <w:lvlJc w:val="left"/>
      <w:pPr>
        <w:ind w:left="142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4AEC8E8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EE9E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C3FA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8CBF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6C54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A9FB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6AFEB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0E865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BE16C5"/>
    <w:multiLevelType w:val="hybridMultilevel"/>
    <w:tmpl w:val="8F368E4E"/>
    <w:lvl w:ilvl="0" w:tplc="C90A39B4">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AB62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7627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E6FF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72F6B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A0D3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7468F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8E9E7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8A0B9E">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8"/>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4a0iZebc27HXpn1Ve+6cx22lBxSFBQvS/65S9aeDoO3QCPwMs5XAE7BrjJRqqVygLq0+eLYBm2lq/gPhKkIXAg==" w:salt="25m7+EcGLr/tPuuAx7e2+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2B"/>
    <w:rsid w:val="00027AD3"/>
    <w:rsid w:val="00052F6B"/>
    <w:rsid w:val="000930AA"/>
    <w:rsid w:val="00095DBB"/>
    <w:rsid w:val="0014145F"/>
    <w:rsid w:val="0019198C"/>
    <w:rsid w:val="00193B5D"/>
    <w:rsid w:val="001C386A"/>
    <w:rsid w:val="0020065B"/>
    <w:rsid w:val="00212038"/>
    <w:rsid w:val="003270B7"/>
    <w:rsid w:val="00361DFD"/>
    <w:rsid w:val="003B48F6"/>
    <w:rsid w:val="00406B3C"/>
    <w:rsid w:val="00444EBB"/>
    <w:rsid w:val="004756DB"/>
    <w:rsid w:val="004865A5"/>
    <w:rsid w:val="00542C7D"/>
    <w:rsid w:val="005818E7"/>
    <w:rsid w:val="00600C80"/>
    <w:rsid w:val="0062362C"/>
    <w:rsid w:val="006B162B"/>
    <w:rsid w:val="0075498C"/>
    <w:rsid w:val="007E45F0"/>
    <w:rsid w:val="007F3209"/>
    <w:rsid w:val="009152A0"/>
    <w:rsid w:val="009D5190"/>
    <w:rsid w:val="009D5C5D"/>
    <w:rsid w:val="00A94487"/>
    <w:rsid w:val="00B530C8"/>
    <w:rsid w:val="00B6658E"/>
    <w:rsid w:val="00B77FAB"/>
    <w:rsid w:val="00BA03A0"/>
    <w:rsid w:val="00CC337E"/>
    <w:rsid w:val="00D30F09"/>
    <w:rsid w:val="00D72E6F"/>
    <w:rsid w:val="00DC4360"/>
    <w:rsid w:val="00E419AC"/>
    <w:rsid w:val="00F93ED7"/>
    <w:rsid w:val="00FD10CE"/>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1A1D"/>
  <w15:docId w15:val="{05A8A09F-F1D8-4A23-AE7D-757D8EAE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6"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
      <w:ind w:left="10" w:hanging="10"/>
      <w:outlineLvl w:val="0"/>
    </w:pPr>
    <w:rPr>
      <w:rFonts w:ascii="Calibri" w:eastAsia="Calibri" w:hAnsi="Calibri" w:cs="Calibri"/>
      <w:b/>
      <w:i/>
      <w:color w:val="993300"/>
      <w:sz w:val="32"/>
    </w:rPr>
  </w:style>
  <w:style w:type="paragraph" w:styleId="Heading2">
    <w:name w:val="heading 2"/>
    <w:next w:val="Normal"/>
    <w:link w:val="Heading2Char"/>
    <w:uiPriority w:val="9"/>
    <w:unhideWhenUsed/>
    <w:qFormat/>
    <w:pPr>
      <w:keepNext/>
      <w:keepLines/>
      <w:spacing w:after="88"/>
      <w:ind w:left="576" w:hanging="10"/>
      <w:outlineLvl w:val="1"/>
    </w:pPr>
    <w:rPr>
      <w:rFonts w:ascii="Calibri" w:eastAsia="Calibri" w:hAnsi="Calibri" w:cs="Calibri"/>
      <w:b/>
      <w:color w:val="993300"/>
      <w:sz w:val="28"/>
    </w:rPr>
  </w:style>
  <w:style w:type="paragraph" w:styleId="Heading3">
    <w:name w:val="heading 3"/>
    <w:next w:val="Normal"/>
    <w:link w:val="Heading3Char"/>
    <w:uiPriority w:val="9"/>
    <w:unhideWhenUsed/>
    <w:qFormat/>
    <w:pPr>
      <w:keepNext/>
      <w:keepLines/>
      <w:spacing w:after="22"/>
      <w:ind w:left="10"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993300"/>
      <w:sz w:val="28"/>
    </w:rPr>
  </w:style>
  <w:style w:type="character" w:customStyle="1" w:styleId="Heading1Char">
    <w:name w:val="Heading 1 Char"/>
    <w:link w:val="Heading1"/>
    <w:rPr>
      <w:rFonts w:ascii="Calibri" w:eastAsia="Calibri" w:hAnsi="Calibri" w:cs="Calibri"/>
      <w:b/>
      <w:i/>
      <w:color w:val="993300"/>
      <w:sz w:val="32"/>
    </w:rPr>
  </w:style>
  <w:style w:type="paragraph" w:styleId="Header">
    <w:name w:val="header"/>
    <w:basedOn w:val="Normal"/>
    <w:link w:val="HeaderChar"/>
    <w:uiPriority w:val="99"/>
    <w:unhideWhenUsed/>
    <w:rsid w:val="009D5C5D"/>
    <w:pPr>
      <w:tabs>
        <w:tab w:val="center" w:pos="4513"/>
        <w:tab w:val="right" w:pos="9026"/>
      </w:tabs>
      <w:spacing w:after="0" w:line="240" w:lineRule="auto"/>
      <w:ind w:left="0" w:firstLine="0"/>
    </w:pPr>
    <w:rPr>
      <w:rFonts w:asciiTheme="minorHAnsi" w:eastAsiaTheme="minorHAnsi" w:hAnsiTheme="minorHAnsi" w:cstheme="minorBidi"/>
      <w:color w:val="auto"/>
      <w:sz w:val="22"/>
      <w:lang w:val="en-AU"/>
    </w:rPr>
  </w:style>
  <w:style w:type="character" w:customStyle="1" w:styleId="HeaderChar">
    <w:name w:val="Header Char"/>
    <w:basedOn w:val="DefaultParagraphFont"/>
    <w:link w:val="Header"/>
    <w:uiPriority w:val="99"/>
    <w:rsid w:val="009D5C5D"/>
    <w:rPr>
      <w:rFonts w:eastAsiaTheme="minorHAnsi"/>
      <w:lang w:val="en-AU"/>
    </w:rPr>
  </w:style>
  <w:style w:type="paragraph" w:styleId="Footer">
    <w:name w:val="footer"/>
    <w:basedOn w:val="Normal"/>
    <w:link w:val="FooterChar"/>
    <w:uiPriority w:val="99"/>
    <w:unhideWhenUsed/>
    <w:rsid w:val="00CC337E"/>
    <w:pPr>
      <w:tabs>
        <w:tab w:val="center" w:pos="4513"/>
        <w:tab w:val="right" w:pos="9026"/>
      </w:tabs>
      <w:spacing w:after="0" w:line="240" w:lineRule="auto"/>
      <w:ind w:left="0" w:firstLine="0"/>
    </w:pPr>
    <w:rPr>
      <w:rFonts w:asciiTheme="minorHAnsi" w:eastAsiaTheme="minorHAnsi" w:hAnsiTheme="minorHAnsi" w:cstheme="minorBidi"/>
      <w:color w:val="auto"/>
      <w:sz w:val="22"/>
      <w:lang w:val="en-AU"/>
    </w:rPr>
  </w:style>
  <w:style w:type="character" w:customStyle="1" w:styleId="FooterChar">
    <w:name w:val="Footer Char"/>
    <w:basedOn w:val="DefaultParagraphFont"/>
    <w:link w:val="Footer"/>
    <w:uiPriority w:val="99"/>
    <w:rsid w:val="00CC337E"/>
    <w:rPr>
      <w:rFonts w:eastAsiaTheme="minorHAnsi"/>
      <w:lang w:val="en-AU"/>
    </w:rPr>
  </w:style>
  <w:style w:type="table" w:styleId="TableGrid">
    <w:name w:val="Table Grid"/>
    <w:basedOn w:val="TableNormal"/>
    <w:uiPriority w:val="39"/>
    <w:rsid w:val="0019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03A0"/>
    <w:pPr>
      <w:spacing w:before="100" w:beforeAutospacing="1" w:after="100" w:afterAutospacing="1" w:line="240" w:lineRule="auto"/>
      <w:ind w:left="0" w:firstLine="0"/>
    </w:pPr>
    <w:rPr>
      <w:rFonts w:ascii="Times New Roman" w:eastAsia="Times New Roman" w:hAnsi="Times New Roman" w:cs="Times New Roman"/>
      <w:color w:val="auto"/>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1023</Words>
  <Characters>5833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38</cp:revision>
  <cp:lastPrinted>2017-01-31T23:20:00Z</cp:lastPrinted>
  <dcterms:created xsi:type="dcterms:W3CDTF">2017-01-31T23:07:00Z</dcterms:created>
  <dcterms:modified xsi:type="dcterms:W3CDTF">2019-07-10T00:52:00Z</dcterms:modified>
</cp:coreProperties>
</file>