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92E8" w14:textId="77777777" w:rsidR="000650B1" w:rsidRPr="00054EDA" w:rsidRDefault="000650B1" w:rsidP="00054EDA">
      <w:pPr>
        <w:spacing w:before="240" w:after="240" w:line="360" w:lineRule="auto"/>
        <w:rPr>
          <w:rFonts w:ascii="Arial" w:hAnsi="Arial" w:cs="Arial"/>
        </w:rPr>
      </w:pPr>
      <w:bookmarkStart w:id="0" w:name="_GoBack"/>
      <w:bookmarkEnd w:id="0"/>
    </w:p>
    <w:tbl>
      <w:tblPr>
        <w:tblStyle w:val="TableGrid"/>
        <w:tblW w:w="9209" w:type="dxa"/>
        <w:tblLook w:val="04A0" w:firstRow="1" w:lastRow="0" w:firstColumn="1" w:lastColumn="0" w:noHBand="0" w:noVBand="1"/>
      </w:tblPr>
      <w:tblGrid>
        <w:gridCol w:w="5098"/>
        <w:gridCol w:w="1418"/>
        <w:gridCol w:w="2693"/>
      </w:tblGrid>
      <w:tr w:rsidR="00B03556" w:rsidRPr="00054EDA" w14:paraId="66D618F1" w14:textId="77777777" w:rsidTr="008B0DF6">
        <w:tc>
          <w:tcPr>
            <w:tcW w:w="5098" w:type="dxa"/>
            <w:shd w:val="clear" w:color="auto" w:fill="E7E6E6" w:themeFill="background2"/>
          </w:tcPr>
          <w:p w14:paraId="4569AF51" w14:textId="77777777" w:rsidR="00B03556" w:rsidRPr="00054EDA" w:rsidRDefault="00B03556" w:rsidP="00054EDA">
            <w:pPr>
              <w:spacing w:before="240" w:after="240" w:line="360" w:lineRule="auto"/>
              <w:rPr>
                <w:rFonts w:ascii="Arial" w:hAnsi="Arial" w:cs="Arial"/>
                <w:b/>
              </w:rPr>
            </w:pPr>
            <w:r w:rsidRPr="00054EDA">
              <w:rPr>
                <w:rFonts w:ascii="Arial" w:hAnsi="Arial" w:cs="Arial"/>
                <w:b/>
              </w:rPr>
              <w:t>POLICY NAME</w:t>
            </w:r>
          </w:p>
        </w:tc>
        <w:tc>
          <w:tcPr>
            <w:tcW w:w="1418" w:type="dxa"/>
            <w:shd w:val="clear" w:color="auto" w:fill="E7E6E6" w:themeFill="background2"/>
          </w:tcPr>
          <w:p w14:paraId="02777DFD" w14:textId="77777777" w:rsidR="00B03556" w:rsidRPr="00054EDA" w:rsidRDefault="00B03556" w:rsidP="00054EDA">
            <w:pPr>
              <w:spacing w:before="240" w:after="240" w:line="360" w:lineRule="auto"/>
              <w:rPr>
                <w:rFonts w:ascii="Arial" w:hAnsi="Arial" w:cs="Arial"/>
                <w:b/>
              </w:rPr>
            </w:pPr>
            <w:r w:rsidRPr="00054EDA">
              <w:rPr>
                <w:rFonts w:ascii="Arial" w:hAnsi="Arial" w:cs="Arial"/>
                <w:b/>
              </w:rPr>
              <w:t>VERSION</w:t>
            </w:r>
          </w:p>
        </w:tc>
        <w:tc>
          <w:tcPr>
            <w:tcW w:w="2693" w:type="dxa"/>
            <w:shd w:val="clear" w:color="auto" w:fill="E7E6E6" w:themeFill="background2"/>
          </w:tcPr>
          <w:p w14:paraId="3D28F1EE" w14:textId="77777777" w:rsidR="00B03556" w:rsidRPr="00054EDA" w:rsidRDefault="00B03556" w:rsidP="00054EDA">
            <w:pPr>
              <w:spacing w:before="240" w:after="240" w:line="360" w:lineRule="auto"/>
              <w:rPr>
                <w:rFonts w:ascii="Arial" w:hAnsi="Arial" w:cs="Arial"/>
                <w:b/>
              </w:rPr>
            </w:pPr>
            <w:r w:rsidRPr="00054EDA">
              <w:rPr>
                <w:rFonts w:ascii="Arial" w:hAnsi="Arial" w:cs="Arial"/>
                <w:b/>
              </w:rPr>
              <w:t>EFFECTIVE DATE</w:t>
            </w:r>
          </w:p>
        </w:tc>
      </w:tr>
      <w:tr w:rsidR="00B03556" w:rsidRPr="00054EDA" w14:paraId="56C86786" w14:textId="77777777" w:rsidTr="00B03556">
        <w:tc>
          <w:tcPr>
            <w:tcW w:w="5098" w:type="dxa"/>
          </w:tcPr>
          <w:p w14:paraId="3E87D275" w14:textId="77777777" w:rsidR="00B03556" w:rsidRPr="00054EDA" w:rsidRDefault="00B03556" w:rsidP="00054EDA">
            <w:pPr>
              <w:spacing w:before="240" w:after="240" w:line="360" w:lineRule="auto"/>
              <w:rPr>
                <w:rFonts w:ascii="Arial" w:hAnsi="Arial" w:cs="Arial"/>
                <w:b/>
              </w:rPr>
            </w:pPr>
            <w:r w:rsidRPr="00054EDA">
              <w:rPr>
                <w:rFonts w:ascii="Arial" w:hAnsi="Arial" w:cs="Arial"/>
                <w:b/>
              </w:rPr>
              <w:t>Chain of Responsibility Policy</w:t>
            </w:r>
          </w:p>
        </w:tc>
        <w:tc>
          <w:tcPr>
            <w:tcW w:w="1418" w:type="dxa"/>
          </w:tcPr>
          <w:p w14:paraId="7BA1A479" w14:textId="77777777" w:rsidR="00B03556" w:rsidRPr="00054EDA" w:rsidRDefault="004F16FF" w:rsidP="00054EDA">
            <w:pPr>
              <w:spacing w:before="240" w:after="240" w:line="360" w:lineRule="auto"/>
              <w:jc w:val="center"/>
              <w:rPr>
                <w:rFonts w:ascii="Arial" w:hAnsi="Arial" w:cs="Arial"/>
                <w:b/>
              </w:rPr>
            </w:pPr>
            <w:r w:rsidRPr="00054EDA">
              <w:rPr>
                <w:rFonts w:ascii="Arial" w:hAnsi="Arial" w:cs="Arial"/>
                <w:b/>
              </w:rPr>
              <w:t>3</w:t>
            </w:r>
          </w:p>
        </w:tc>
        <w:tc>
          <w:tcPr>
            <w:tcW w:w="2693" w:type="dxa"/>
          </w:tcPr>
          <w:p w14:paraId="032FAB39" w14:textId="77777777" w:rsidR="00B03556" w:rsidRPr="00054EDA" w:rsidRDefault="004F16FF" w:rsidP="00054EDA">
            <w:pPr>
              <w:spacing w:before="240" w:after="240" w:line="360" w:lineRule="auto"/>
              <w:rPr>
                <w:rFonts w:ascii="Arial" w:hAnsi="Arial" w:cs="Arial"/>
                <w:b/>
              </w:rPr>
            </w:pPr>
            <w:r w:rsidRPr="00054EDA">
              <w:rPr>
                <w:rFonts w:ascii="Arial" w:hAnsi="Arial" w:cs="Arial"/>
                <w:b/>
              </w:rPr>
              <w:t>30 October 2019</w:t>
            </w:r>
          </w:p>
        </w:tc>
      </w:tr>
    </w:tbl>
    <w:p w14:paraId="613853E6" w14:textId="77777777" w:rsidR="000650B1" w:rsidRPr="00054EDA" w:rsidRDefault="00910DDB" w:rsidP="00054EDA">
      <w:pPr>
        <w:spacing w:before="240" w:after="240" w:line="360" w:lineRule="auto"/>
        <w:rPr>
          <w:rFonts w:ascii="Arial" w:hAnsi="Arial" w:cs="Arial"/>
          <w:b/>
        </w:rPr>
      </w:pPr>
      <w:r w:rsidRPr="00054EDA">
        <w:rPr>
          <w:rFonts w:ascii="Arial" w:hAnsi="Arial" w:cs="Arial"/>
          <w:b/>
        </w:rPr>
        <w:t xml:space="preserve">What is Chain of Responsibility (CoR)? </w:t>
      </w:r>
    </w:p>
    <w:p w14:paraId="48F795B1" w14:textId="77777777" w:rsidR="00910DDB" w:rsidRPr="00054EDA" w:rsidRDefault="00910DDB" w:rsidP="00054EDA">
      <w:pPr>
        <w:spacing w:before="240" w:after="240" w:line="360" w:lineRule="auto"/>
        <w:rPr>
          <w:rFonts w:ascii="Arial" w:hAnsi="Arial" w:cs="Arial"/>
        </w:rPr>
      </w:pPr>
      <w:r w:rsidRPr="00054EDA">
        <w:rPr>
          <w:rFonts w:ascii="Arial" w:hAnsi="Arial" w:cs="Arial"/>
        </w:rPr>
        <w:t>The aim of CoR is to make sure everyone in the supply chain share equal responsibility for ensuring breaches of the Heavy Vehicle National Law (HVNL) do not occur. Under COR laws if you exercise (or have the capability of exercising) control or influence over any transport task, you are part of the supply chain and therefore have a responsibility to ensure the HVNL is complied with.</w:t>
      </w:r>
    </w:p>
    <w:p w14:paraId="5D3679CC" w14:textId="77777777" w:rsidR="00910DDB" w:rsidRPr="00054EDA" w:rsidRDefault="00910DDB" w:rsidP="00054EDA">
      <w:pPr>
        <w:spacing w:before="240" w:after="240" w:line="360" w:lineRule="auto"/>
        <w:rPr>
          <w:rFonts w:ascii="Arial" w:hAnsi="Arial" w:cs="Arial"/>
        </w:rPr>
      </w:pPr>
      <w:r w:rsidRPr="00054EDA">
        <w:rPr>
          <w:rFonts w:ascii="Arial" w:hAnsi="Arial" w:cs="Arial"/>
        </w:rPr>
        <w:t>The law recognises that multiple parties may be responsible for offences committed by the drivers and operators of heavy vehicles. A person may be a party in the supply chain in more than one way. For example</w:t>
      </w:r>
      <w:r w:rsidR="00CF7012">
        <w:rPr>
          <w:rFonts w:ascii="Arial" w:hAnsi="Arial" w:cs="Arial"/>
        </w:rPr>
        <w:t>,</w:t>
      </w:r>
      <w:r w:rsidRPr="00054EDA">
        <w:rPr>
          <w:rFonts w:ascii="Arial" w:hAnsi="Arial" w:cs="Arial"/>
        </w:rPr>
        <w:t xml:space="preserve"> they may have duties as the employer, the operator and the consigner of goods. </w:t>
      </w:r>
    </w:p>
    <w:p w14:paraId="0DEB606D" w14:textId="77777777" w:rsidR="00910DDB" w:rsidRPr="00054EDA" w:rsidRDefault="00910DDB" w:rsidP="00054EDA">
      <w:pPr>
        <w:spacing w:before="240" w:after="240" w:line="360" w:lineRule="auto"/>
        <w:rPr>
          <w:rFonts w:ascii="Arial" w:hAnsi="Arial" w:cs="Arial"/>
        </w:rPr>
      </w:pPr>
      <w:r w:rsidRPr="00054EDA">
        <w:rPr>
          <w:rFonts w:ascii="Arial" w:hAnsi="Arial" w:cs="Arial"/>
        </w:rPr>
        <w:t xml:space="preserve">Legal liability applies to all parties for their actions or inactions. This is the </w:t>
      </w:r>
      <w:r w:rsidR="0084315D">
        <w:rPr>
          <w:rFonts w:ascii="Arial" w:hAnsi="Arial" w:cs="Arial"/>
        </w:rPr>
        <w:t>C</w:t>
      </w:r>
      <w:r w:rsidRPr="00054EDA">
        <w:rPr>
          <w:rFonts w:ascii="Arial" w:hAnsi="Arial" w:cs="Arial"/>
        </w:rPr>
        <w:t xml:space="preserve">hain of </w:t>
      </w:r>
      <w:r w:rsidR="0084315D">
        <w:rPr>
          <w:rFonts w:ascii="Arial" w:hAnsi="Arial" w:cs="Arial"/>
        </w:rPr>
        <w:t>R</w:t>
      </w:r>
      <w:r w:rsidRPr="00054EDA">
        <w:rPr>
          <w:rFonts w:ascii="Arial" w:hAnsi="Arial" w:cs="Arial"/>
        </w:rPr>
        <w:t xml:space="preserve">esponsibility (CoR). The </w:t>
      </w:r>
      <w:r w:rsidR="0084315D">
        <w:rPr>
          <w:rFonts w:ascii="Arial" w:hAnsi="Arial" w:cs="Arial"/>
        </w:rPr>
        <w:t>CoR</w:t>
      </w:r>
      <w:r w:rsidRPr="00054EDA">
        <w:rPr>
          <w:rFonts w:ascii="Arial" w:hAnsi="Arial" w:cs="Arial"/>
        </w:rPr>
        <w:t xml:space="preserve"> laws (HVNL) encompass heavy vehicle: </w:t>
      </w:r>
    </w:p>
    <w:p w14:paraId="19DEFCDB" w14:textId="77777777" w:rsidR="00910DDB" w:rsidRPr="00054EDA" w:rsidRDefault="00910DDB" w:rsidP="00054EDA">
      <w:pPr>
        <w:pStyle w:val="ListParagraph"/>
        <w:numPr>
          <w:ilvl w:val="0"/>
          <w:numId w:val="1"/>
        </w:numPr>
        <w:spacing w:before="240" w:after="240" w:line="360" w:lineRule="auto"/>
        <w:contextualSpacing w:val="0"/>
        <w:rPr>
          <w:rFonts w:ascii="Arial" w:hAnsi="Arial" w:cs="Arial"/>
        </w:rPr>
      </w:pPr>
      <w:r w:rsidRPr="00054EDA">
        <w:rPr>
          <w:rFonts w:ascii="Arial" w:hAnsi="Arial" w:cs="Arial"/>
        </w:rPr>
        <w:t>Mass, dimension and load restraint requirements</w:t>
      </w:r>
      <w:r w:rsidR="005E0EE5">
        <w:rPr>
          <w:rFonts w:ascii="Arial" w:hAnsi="Arial" w:cs="Arial"/>
        </w:rPr>
        <w:t>,</w:t>
      </w:r>
    </w:p>
    <w:p w14:paraId="1A972D6F" w14:textId="77777777" w:rsidR="00910DDB" w:rsidRPr="00054EDA" w:rsidRDefault="00910DDB" w:rsidP="00054EDA">
      <w:pPr>
        <w:pStyle w:val="ListParagraph"/>
        <w:numPr>
          <w:ilvl w:val="0"/>
          <w:numId w:val="1"/>
        </w:numPr>
        <w:spacing w:before="240" w:after="240" w:line="360" w:lineRule="auto"/>
        <w:contextualSpacing w:val="0"/>
        <w:rPr>
          <w:rFonts w:ascii="Arial" w:hAnsi="Arial" w:cs="Arial"/>
        </w:rPr>
      </w:pPr>
      <w:r w:rsidRPr="00054EDA">
        <w:rPr>
          <w:rFonts w:ascii="Arial" w:hAnsi="Arial" w:cs="Arial"/>
        </w:rPr>
        <w:t xml:space="preserve">Speed, </w:t>
      </w:r>
      <w:r w:rsidR="005E0EE5">
        <w:rPr>
          <w:rFonts w:ascii="Arial" w:hAnsi="Arial" w:cs="Arial"/>
        </w:rPr>
        <w:t>f</w:t>
      </w:r>
      <w:r w:rsidRPr="00054EDA">
        <w:rPr>
          <w:rFonts w:ascii="Arial" w:hAnsi="Arial" w:cs="Arial"/>
        </w:rPr>
        <w:t xml:space="preserve">atigue </w:t>
      </w:r>
      <w:r w:rsidR="005E0EE5">
        <w:rPr>
          <w:rFonts w:ascii="Arial" w:hAnsi="Arial" w:cs="Arial"/>
        </w:rPr>
        <w:t>m</w:t>
      </w:r>
      <w:r w:rsidRPr="00054EDA">
        <w:rPr>
          <w:rFonts w:ascii="Arial" w:hAnsi="Arial" w:cs="Arial"/>
        </w:rPr>
        <w:t>anagement</w:t>
      </w:r>
      <w:r w:rsidR="005E0EE5">
        <w:rPr>
          <w:rFonts w:ascii="Arial" w:hAnsi="Arial" w:cs="Arial"/>
        </w:rPr>
        <w:t>,</w:t>
      </w:r>
      <w:r w:rsidRPr="00054EDA">
        <w:rPr>
          <w:rFonts w:ascii="Arial" w:hAnsi="Arial" w:cs="Arial"/>
        </w:rPr>
        <w:t xml:space="preserve"> and </w:t>
      </w:r>
    </w:p>
    <w:p w14:paraId="34B6C6EE" w14:textId="77777777" w:rsidR="00910DDB" w:rsidRPr="00054EDA" w:rsidRDefault="00910DDB" w:rsidP="00054EDA">
      <w:pPr>
        <w:pStyle w:val="ListParagraph"/>
        <w:numPr>
          <w:ilvl w:val="0"/>
          <w:numId w:val="1"/>
        </w:numPr>
        <w:spacing w:before="240" w:after="240" w:line="360" w:lineRule="auto"/>
        <w:contextualSpacing w:val="0"/>
        <w:rPr>
          <w:rFonts w:ascii="Arial" w:hAnsi="Arial" w:cs="Arial"/>
        </w:rPr>
      </w:pPr>
      <w:r w:rsidRPr="00054EDA">
        <w:rPr>
          <w:rFonts w:ascii="Arial" w:hAnsi="Arial" w:cs="Arial"/>
        </w:rPr>
        <w:t>Vehicle standards and maintenance</w:t>
      </w:r>
      <w:r w:rsidR="005E0EE5">
        <w:rPr>
          <w:rFonts w:ascii="Arial" w:hAnsi="Arial" w:cs="Arial"/>
        </w:rPr>
        <w:t>.</w:t>
      </w:r>
      <w:r w:rsidRPr="00054EDA">
        <w:rPr>
          <w:rFonts w:ascii="Arial" w:hAnsi="Arial" w:cs="Arial"/>
        </w:rPr>
        <w:t xml:space="preserve"> </w:t>
      </w:r>
    </w:p>
    <w:p w14:paraId="62FA5680" w14:textId="77777777" w:rsidR="00910DDB" w:rsidRPr="00054EDA" w:rsidRDefault="00910DDB" w:rsidP="00054EDA">
      <w:pPr>
        <w:spacing w:before="240" w:after="240" w:line="360" w:lineRule="auto"/>
        <w:rPr>
          <w:rFonts w:ascii="Arial" w:hAnsi="Arial" w:cs="Arial"/>
          <w:b/>
        </w:rPr>
      </w:pPr>
      <w:r w:rsidRPr="00054EDA">
        <w:rPr>
          <w:rFonts w:ascii="Arial" w:hAnsi="Arial" w:cs="Arial"/>
          <w:b/>
        </w:rPr>
        <w:t xml:space="preserve">Scope: </w:t>
      </w:r>
    </w:p>
    <w:p w14:paraId="38D555A0" w14:textId="77777777" w:rsidR="00910DDB" w:rsidRPr="00054EDA" w:rsidRDefault="00910DDB" w:rsidP="00054EDA">
      <w:pPr>
        <w:spacing w:before="240" w:after="240" w:line="360" w:lineRule="auto"/>
        <w:rPr>
          <w:rFonts w:ascii="Arial" w:hAnsi="Arial" w:cs="Arial"/>
        </w:rPr>
      </w:pPr>
      <w:r w:rsidRPr="00054EDA">
        <w:rPr>
          <w:rFonts w:ascii="Arial" w:hAnsi="Arial" w:cs="Arial"/>
        </w:rPr>
        <w:t xml:space="preserve">The Heavy Vehicle National Law (HVNL) and regulations commenced in the Australian Capital Territory, New South Wales, Queensland, South Australia, Tasmania and Victoria on 10 February 2014. In addition to passing the HVNL, states and territories agreed to four regulations made under the national law. Although Western Australia has not commenced the HVNL at this time, all </w:t>
      </w:r>
      <w:r w:rsidR="008060E8" w:rsidRPr="00054EDA">
        <w:rPr>
          <w:rFonts w:ascii="Arial" w:hAnsi="Arial" w:cs="Arial"/>
        </w:rPr>
        <w:t xml:space="preserve">John Readings </w:t>
      </w:r>
      <w:r w:rsidRPr="00054EDA">
        <w:rPr>
          <w:rFonts w:ascii="Arial" w:hAnsi="Arial" w:cs="Arial"/>
        </w:rPr>
        <w:t xml:space="preserve">branches including </w:t>
      </w:r>
      <w:r w:rsidR="008060E8" w:rsidRPr="00054EDA">
        <w:rPr>
          <w:rFonts w:ascii="Arial" w:hAnsi="Arial" w:cs="Arial"/>
        </w:rPr>
        <w:t xml:space="preserve">John Readings </w:t>
      </w:r>
      <w:r w:rsidRPr="00054EDA">
        <w:rPr>
          <w:rFonts w:ascii="Arial" w:hAnsi="Arial" w:cs="Arial"/>
        </w:rPr>
        <w:t>WA will comply with our company CoR Policy for all sized vehicles in our fleet.</w:t>
      </w:r>
    </w:p>
    <w:p w14:paraId="6B42AEE4" w14:textId="77777777" w:rsidR="00C52C67" w:rsidRDefault="00C52C67" w:rsidP="00054EDA">
      <w:pPr>
        <w:spacing w:before="240" w:after="240" w:line="360" w:lineRule="auto"/>
        <w:rPr>
          <w:rFonts w:ascii="Arial" w:hAnsi="Arial" w:cs="Arial"/>
          <w:b/>
        </w:rPr>
      </w:pPr>
    </w:p>
    <w:p w14:paraId="783C63E0" w14:textId="77777777" w:rsidR="00910DDB" w:rsidRPr="00054EDA" w:rsidRDefault="00910DDB" w:rsidP="00054EDA">
      <w:pPr>
        <w:spacing w:before="240" w:after="240" w:line="360" w:lineRule="auto"/>
        <w:rPr>
          <w:rFonts w:ascii="Arial" w:hAnsi="Arial" w:cs="Arial"/>
          <w:b/>
        </w:rPr>
      </w:pPr>
      <w:r w:rsidRPr="00054EDA">
        <w:rPr>
          <w:rFonts w:ascii="Arial" w:hAnsi="Arial" w:cs="Arial"/>
          <w:b/>
        </w:rPr>
        <w:t xml:space="preserve">Parties in the Chain of Responsibility are (but not limited to): </w:t>
      </w:r>
    </w:p>
    <w:p w14:paraId="3FD07CBD" w14:textId="77777777" w:rsidR="00910DDB" w:rsidRPr="00054EDA" w:rsidRDefault="00910DDB" w:rsidP="00054EDA">
      <w:pPr>
        <w:pStyle w:val="ListParagraph"/>
        <w:numPr>
          <w:ilvl w:val="0"/>
          <w:numId w:val="2"/>
        </w:numPr>
        <w:spacing w:before="240" w:after="240" w:line="360" w:lineRule="auto"/>
        <w:contextualSpacing w:val="0"/>
        <w:rPr>
          <w:rFonts w:ascii="Arial" w:hAnsi="Arial" w:cs="Arial"/>
        </w:rPr>
      </w:pPr>
      <w:r w:rsidRPr="00054EDA">
        <w:rPr>
          <w:rFonts w:ascii="Arial" w:hAnsi="Arial" w:cs="Arial"/>
        </w:rPr>
        <w:t>Corporations, partnerships, unincorporated associations or other bodies corporate</w:t>
      </w:r>
      <w:r w:rsidR="0095608F">
        <w:rPr>
          <w:rFonts w:ascii="Arial" w:hAnsi="Arial" w:cs="Arial"/>
        </w:rPr>
        <w:t>,</w:t>
      </w:r>
      <w:r w:rsidRPr="00054EDA">
        <w:rPr>
          <w:rFonts w:ascii="Arial" w:hAnsi="Arial" w:cs="Arial"/>
        </w:rPr>
        <w:t xml:space="preserve"> </w:t>
      </w:r>
    </w:p>
    <w:p w14:paraId="3C4E3BF2" w14:textId="77777777" w:rsidR="00910DDB" w:rsidRPr="00054EDA" w:rsidRDefault="00BF3264" w:rsidP="00054EDA">
      <w:pPr>
        <w:pStyle w:val="ListParagraph"/>
        <w:numPr>
          <w:ilvl w:val="0"/>
          <w:numId w:val="2"/>
        </w:numPr>
        <w:spacing w:before="240" w:after="240" w:line="360" w:lineRule="auto"/>
        <w:contextualSpacing w:val="0"/>
        <w:rPr>
          <w:rFonts w:ascii="Arial" w:hAnsi="Arial" w:cs="Arial"/>
        </w:rPr>
      </w:pPr>
      <w:r w:rsidRPr="00054EDA">
        <w:rPr>
          <w:rFonts w:ascii="Arial" w:hAnsi="Arial" w:cs="Arial"/>
        </w:rPr>
        <w:t>Em</w:t>
      </w:r>
      <w:r w:rsidR="00910DDB" w:rsidRPr="00054EDA">
        <w:rPr>
          <w:rFonts w:ascii="Arial" w:hAnsi="Arial" w:cs="Arial"/>
        </w:rPr>
        <w:t>ployers and company directors</w:t>
      </w:r>
      <w:r w:rsidR="0095608F">
        <w:rPr>
          <w:rFonts w:ascii="Arial" w:hAnsi="Arial" w:cs="Arial"/>
        </w:rPr>
        <w:t>,</w:t>
      </w:r>
    </w:p>
    <w:p w14:paraId="205E923A" w14:textId="77777777" w:rsidR="00910DDB" w:rsidRPr="00054EDA" w:rsidRDefault="00BF3264" w:rsidP="00054EDA">
      <w:pPr>
        <w:pStyle w:val="ListParagraph"/>
        <w:numPr>
          <w:ilvl w:val="0"/>
          <w:numId w:val="2"/>
        </w:numPr>
        <w:spacing w:before="240" w:after="240" w:line="360" w:lineRule="auto"/>
        <w:contextualSpacing w:val="0"/>
        <w:rPr>
          <w:rFonts w:ascii="Arial" w:hAnsi="Arial" w:cs="Arial"/>
        </w:rPr>
      </w:pPr>
      <w:r w:rsidRPr="00054EDA">
        <w:rPr>
          <w:rFonts w:ascii="Arial" w:hAnsi="Arial" w:cs="Arial"/>
        </w:rPr>
        <w:t>Exporters/importers</w:t>
      </w:r>
      <w:r w:rsidR="0095608F">
        <w:rPr>
          <w:rFonts w:ascii="Arial" w:hAnsi="Arial" w:cs="Arial"/>
        </w:rPr>
        <w:t>,</w:t>
      </w:r>
    </w:p>
    <w:p w14:paraId="671C7058" w14:textId="77777777" w:rsidR="00910DDB" w:rsidRPr="00054EDA" w:rsidRDefault="00BF3264" w:rsidP="00054EDA">
      <w:pPr>
        <w:pStyle w:val="ListParagraph"/>
        <w:numPr>
          <w:ilvl w:val="0"/>
          <w:numId w:val="2"/>
        </w:numPr>
        <w:spacing w:before="240" w:after="240" w:line="360" w:lineRule="auto"/>
        <w:contextualSpacing w:val="0"/>
        <w:rPr>
          <w:rFonts w:ascii="Arial" w:hAnsi="Arial" w:cs="Arial"/>
        </w:rPr>
      </w:pPr>
      <w:r w:rsidRPr="00054EDA">
        <w:rPr>
          <w:rFonts w:ascii="Arial" w:hAnsi="Arial" w:cs="Arial"/>
        </w:rPr>
        <w:t>Primary producers</w:t>
      </w:r>
      <w:r w:rsidR="0095608F">
        <w:rPr>
          <w:rFonts w:ascii="Arial" w:hAnsi="Arial" w:cs="Arial"/>
        </w:rPr>
        <w:t>,</w:t>
      </w:r>
    </w:p>
    <w:p w14:paraId="490EBF6D" w14:textId="77777777" w:rsidR="00910DDB" w:rsidRPr="00054EDA" w:rsidRDefault="00BF3264" w:rsidP="00054EDA">
      <w:pPr>
        <w:pStyle w:val="ListParagraph"/>
        <w:numPr>
          <w:ilvl w:val="0"/>
          <w:numId w:val="2"/>
        </w:numPr>
        <w:spacing w:before="240" w:after="240" w:line="360" w:lineRule="auto"/>
        <w:contextualSpacing w:val="0"/>
        <w:rPr>
          <w:rFonts w:ascii="Arial" w:hAnsi="Arial" w:cs="Arial"/>
        </w:rPr>
      </w:pPr>
      <w:r w:rsidRPr="00054EDA">
        <w:rPr>
          <w:rFonts w:ascii="Arial" w:hAnsi="Arial" w:cs="Arial"/>
        </w:rPr>
        <w:t>Dri</w:t>
      </w:r>
      <w:r w:rsidR="00910DDB" w:rsidRPr="00054EDA">
        <w:rPr>
          <w:rFonts w:ascii="Arial" w:hAnsi="Arial" w:cs="Arial"/>
        </w:rPr>
        <w:t>vers (including owner-driver)</w:t>
      </w:r>
      <w:r w:rsidR="0095608F">
        <w:rPr>
          <w:rFonts w:ascii="Arial" w:hAnsi="Arial" w:cs="Arial"/>
        </w:rPr>
        <w:t>,</w:t>
      </w:r>
      <w:r w:rsidR="00910DDB" w:rsidRPr="00054EDA">
        <w:rPr>
          <w:rFonts w:ascii="Arial" w:hAnsi="Arial" w:cs="Arial"/>
        </w:rPr>
        <w:t xml:space="preserve"> </w:t>
      </w:r>
    </w:p>
    <w:p w14:paraId="55D2A22C" w14:textId="77777777" w:rsidR="00910DDB" w:rsidRPr="00054EDA" w:rsidRDefault="00BF3264" w:rsidP="00054EDA">
      <w:pPr>
        <w:pStyle w:val="ListParagraph"/>
        <w:numPr>
          <w:ilvl w:val="0"/>
          <w:numId w:val="2"/>
        </w:numPr>
        <w:spacing w:before="240" w:after="240" w:line="360" w:lineRule="auto"/>
        <w:contextualSpacing w:val="0"/>
        <w:rPr>
          <w:rFonts w:ascii="Arial" w:hAnsi="Arial" w:cs="Arial"/>
        </w:rPr>
      </w:pPr>
      <w:r w:rsidRPr="00054EDA">
        <w:rPr>
          <w:rFonts w:ascii="Arial" w:hAnsi="Arial" w:cs="Arial"/>
        </w:rPr>
        <w:t>Prime contractors of drivers</w:t>
      </w:r>
      <w:r w:rsidR="0095608F">
        <w:rPr>
          <w:rFonts w:ascii="Arial" w:hAnsi="Arial" w:cs="Arial"/>
        </w:rPr>
        <w:t>,</w:t>
      </w:r>
      <w:r w:rsidR="00910DDB" w:rsidRPr="00054EDA">
        <w:rPr>
          <w:rFonts w:ascii="Arial" w:hAnsi="Arial" w:cs="Arial"/>
        </w:rPr>
        <w:t xml:space="preserve"> </w:t>
      </w:r>
    </w:p>
    <w:p w14:paraId="0CA44934" w14:textId="77777777" w:rsidR="00910DDB" w:rsidRPr="00054EDA" w:rsidRDefault="00BF3264" w:rsidP="00054EDA">
      <w:pPr>
        <w:pStyle w:val="ListParagraph"/>
        <w:numPr>
          <w:ilvl w:val="0"/>
          <w:numId w:val="2"/>
        </w:numPr>
        <w:spacing w:before="240" w:after="240" w:line="360" w:lineRule="auto"/>
        <w:contextualSpacing w:val="0"/>
        <w:rPr>
          <w:rFonts w:ascii="Arial" w:hAnsi="Arial" w:cs="Arial"/>
        </w:rPr>
      </w:pPr>
      <w:r w:rsidRPr="00054EDA">
        <w:rPr>
          <w:rFonts w:ascii="Arial" w:hAnsi="Arial" w:cs="Arial"/>
        </w:rPr>
        <w:t xml:space="preserve">The operator </w:t>
      </w:r>
      <w:r w:rsidR="00910DDB" w:rsidRPr="00054EDA">
        <w:rPr>
          <w:rFonts w:ascii="Arial" w:hAnsi="Arial" w:cs="Arial"/>
        </w:rPr>
        <w:t>of a vehicle</w:t>
      </w:r>
      <w:r w:rsidR="0095608F">
        <w:rPr>
          <w:rFonts w:ascii="Arial" w:hAnsi="Arial" w:cs="Arial"/>
        </w:rPr>
        <w:t>,</w:t>
      </w:r>
      <w:r w:rsidR="00910DDB" w:rsidRPr="00054EDA">
        <w:rPr>
          <w:rFonts w:ascii="Arial" w:hAnsi="Arial" w:cs="Arial"/>
        </w:rPr>
        <w:t xml:space="preserve"> </w:t>
      </w:r>
    </w:p>
    <w:p w14:paraId="159913DA" w14:textId="77777777" w:rsidR="00910DDB" w:rsidRPr="00054EDA" w:rsidRDefault="00BF3264" w:rsidP="00054EDA">
      <w:pPr>
        <w:pStyle w:val="ListParagraph"/>
        <w:numPr>
          <w:ilvl w:val="0"/>
          <w:numId w:val="2"/>
        </w:numPr>
        <w:spacing w:before="240" w:after="240" w:line="360" w:lineRule="auto"/>
        <w:contextualSpacing w:val="0"/>
        <w:rPr>
          <w:rFonts w:ascii="Arial" w:hAnsi="Arial" w:cs="Arial"/>
        </w:rPr>
      </w:pPr>
      <w:r w:rsidRPr="00054EDA">
        <w:rPr>
          <w:rFonts w:ascii="Arial" w:hAnsi="Arial" w:cs="Arial"/>
        </w:rPr>
        <w:t>Ope</w:t>
      </w:r>
      <w:r w:rsidR="00910DDB" w:rsidRPr="00054EDA">
        <w:rPr>
          <w:rFonts w:ascii="Arial" w:hAnsi="Arial" w:cs="Arial"/>
        </w:rPr>
        <w:t>rators of a transport company</w:t>
      </w:r>
      <w:r w:rsidR="0095608F">
        <w:rPr>
          <w:rFonts w:ascii="Arial" w:hAnsi="Arial" w:cs="Arial"/>
        </w:rPr>
        <w:t>,</w:t>
      </w:r>
      <w:r w:rsidR="00910DDB" w:rsidRPr="00054EDA">
        <w:rPr>
          <w:rFonts w:ascii="Arial" w:hAnsi="Arial" w:cs="Arial"/>
        </w:rPr>
        <w:t xml:space="preserve"> </w:t>
      </w:r>
    </w:p>
    <w:p w14:paraId="2C9B625F" w14:textId="77777777" w:rsidR="00910DDB" w:rsidRPr="00054EDA" w:rsidRDefault="00BF3264" w:rsidP="00054EDA">
      <w:pPr>
        <w:pStyle w:val="ListParagraph"/>
        <w:numPr>
          <w:ilvl w:val="0"/>
          <w:numId w:val="2"/>
        </w:numPr>
        <w:spacing w:before="240" w:after="240" w:line="360" w:lineRule="auto"/>
        <w:contextualSpacing w:val="0"/>
        <w:rPr>
          <w:rFonts w:ascii="Arial" w:hAnsi="Arial" w:cs="Arial"/>
        </w:rPr>
      </w:pPr>
      <w:r w:rsidRPr="00054EDA">
        <w:rPr>
          <w:rFonts w:ascii="Arial" w:hAnsi="Arial" w:cs="Arial"/>
        </w:rPr>
        <w:t>Schedulers of goods or passen</w:t>
      </w:r>
      <w:r w:rsidR="00910DDB" w:rsidRPr="00054EDA">
        <w:rPr>
          <w:rFonts w:ascii="Arial" w:hAnsi="Arial" w:cs="Arial"/>
        </w:rPr>
        <w:t>gers for transport in or on a vehicle, and the scheduler of its driver</w:t>
      </w:r>
      <w:r w:rsidR="0095608F">
        <w:rPr>
          <w:rFonts w:ascii="Arial" w:hAnsi="Arial" w:cs="Arial"/>
        </w:rPr>
        <w:t>,</w:t>
      </w:r>
      <w:r w:rsidR="00910DDB" w:rsidRPr="00054EDA">
        <w:rPr>
          <w:rFonts w:ascii="Arial" w:hAnsi="Arial" w:cs="Arial"/>
        </w:rPr>
        <w:t xml:space="preserve"> </w:t>
      </w:r>
    </w:p>
    <w:p w14:paraId="6019979F" w14:textId="77777777" w:rsidR="00910DDB" w:rsidRPr="00054EDA" w:rsidRDefault="00BF3264" w:rsidP="00054EDA">
      <w:pPr>
        <w:pStyle w:val="ListParagraph"/>
        <w:numPr>
          <w:ilvl w:val="0"/>
          <w:numId w:val="2"/>
        </w:numPr>
        <w:spacing w:before="240" w:after="240" w:line="360" w:lineRule="auto"/>
        <w:contextualSpacing w:val="0"/>
        <w:rPr>
          <w:rFonts w:ascii="Arial" w:hAnsi="Arial" w:cs="Arial"/>
        </w:rPr>
      </w:pPr>
      <w:r w:rsidRPr="00054EDA">
        <w:rPr>
          <w:rFonts w:ascii="Arial" w:hAnsi="Arial" w:cs="Arial"/>
        </w:rPr>
        <w:t>Consignors/consignees/receive</w:t>
      </w:r>
      <w:r w:rsidR="00910DDB" w:rsidRPr="00054EDA">
        <w:rPr>
          <w:rFonts w:ascii="Arial" w:hAnsi="Arial" w:cs="Arial"/>
        </w:rPr>
        <w:t>rs of the goods for transport</w:t>
      </w:r>
      <w:r w:rsidR="0095608F">
        <w:rPr>
          <w:rFonts w:ascii="Arial" w:hAnsi="Arial" w:cs="Arial"/>
        </w:rPr>
        <w:t>,</w:t>
      </w:r>
      <w:r w:rsidR="00910DDB" w:rsidRPr="00054EDA">
        <w:rPr>
          <w:rFonts w:ascii="Arial" w:hAnsi="Arial" w:cs="Arial"/>
        </w:rPr>
        <w:t xml:space="preserve"> </w:t>
      </w:r>
    </w:p>
    <w:p w14:paraId="50DAA90B" w14:textId="77777777" w:rsidR="00910DDB" w:rsidRPr="00054EDA" w:rsidRDefault="00BF3264" w:rsidP="00054EDA">
      <w:pPr>
        <w:pStyle w:val="ListParagraph"/>
        <w:numPr>
          <w:ilvl w:val="0"/>
          <w:numId w:val="2"/>
        </w:numPr>
        <w:spacing w:before="240" w:after="240" w:line="360" w:lineRule="auto"/>
        <w:contextualSpacing w:val="0"/>
        <w:rPr>
          <w:rFonts w:ascii="Arial" w:hAnsi="Arial" w:cs="Arial"/>
        </w:rPr>
      </w:pPr>
      <w:r w:rsidRPr="00054EDA">
        <w:rPr>
          <w:rFonts w:ascii="Arial" w:hAnsi="Arial" w:cs="Arial"/>
        </w:rPr>
        <w:t>Loaders/unloaders of goods</w:t>
      </w:r>
      <w:r w:rsidR="0095608F">
        <w:rPr>
          <w:rFonts w:ascii="Arial" w:hAnsi="Arial" w:cs="Arial"/>
        </w:rPr>
        <w:t>,</w:t>
      </w:r>
      <w:r w:rsidRPr="00054EDA">
        <w:rPr>
          <w:rFonts w:ascii="Arial" w:hAnsi="Arial" w:cs="Arial"/>
        </w:rPr>
        <w:t xml:space="preserve"> </w:t>
      </w:r>
    </w:p>
    <w:p w14:paraId="6F93F59E" w14:textId="77777777" w:rsidR="00910DDB" w:rsidRPr="00054EDA" w:rsidRDefault="00BF3264" w:rsidP="00054EDA">
      <w:pPr>
        <w:pStyle w:val="ListParagraph"/>
        <w:numPr>
          <w:ilvl w:val="0"/>
          <w:numId w:val="2"/>
        </w:numPr>
        <w:spacing w:before="240" w:after="240" w:line="360" w:lineRule="auto"/>
        <w:contextualSpacing w:val="0"/>
        <w:rPr>
          <w:rFonts w:ascii="Arial" w:hAnsi="Arial" w:cs="Arial"/>
        </w:rPr>
      </w:pPr>
      <w:r w:rsidRPr="00054EDA">
        <w:rPr>
          <w:rFonts w:ascii="Arial" w:hAnsi="Arial" w:cs="Arial"/>
        </w:rPr>
        <w:t>Loading managers (the person who supervises loading/</w:t>
      </w:r>
      <w:proofErr w:type="gramStart"/>
      <w:r w:rsidRPr="00054EDA">
        <w:rPr>
          <w:rFonts w:ascii="Arial" w:hAnsi="Arial" w:cs="Arial"/>
        </w:rPr>
        <w:t>unloading, or</w:t>
      </w:r>
      <w:proofErr w:type="gramEnd"/>
      <w:r w:rsidRPr="00054EDA">
        <w:rPr>
          <w:rFonts w:ascii="Arial" w:hAnsi="Arial" w:cs="Arial"/>
        </w:rPr>
        <w:t xml:space="preserve"> manages the premises where </w:t>
      </w:r>
      <w:r w:rsidR="00910DDB" w:rsidRPr="00054EDA">
        <w:rPr>
          <w:rFonts w:ascii="Arial" w:hAnsi="Arial" w:cs="Arial"/>
        </w:rPr>
        <w:t>this occurs)</w:t>
      </w:r>
      <w:r w:rsidR="0095608F">
        <w:rPr>
          <w:rFonts w:ascii="Arial" w:hAnsi="Arial" w:cs="Arial"/>
        </w:rPr>
        <w:t>.</w:t>
      </w:r>
      <w:r w:rsidR="00910DDB" w:rsidRPr="00054EDA">
        <w:rPr>
          <w:rFonts w:ascii="Arial" w:hAnsi="Arial" w:cs="Arial"/>
        </w:rPr>
        <w:t xml:space="preserve"> </w:t>
      </w:r>
    </w:p>
    <w:p w14:paraId="1A429A73" w14:textId="77777777" w:rsidR="005A058C" w:rsidRPr="00054EDA" w:rsidRDefault="00910DDB" w:rsidP="00054EDA">
      <w:pPr>
        <w:tabs>
          <w:tab w:val="left" w:pos="4995"/>
        </w:tabs>
        <w:spacing w:before="240" w:after="240" w:line="360" w:lineRule="auto"/>
        <w:rPr>
          <w:rFonts w:ascii="Arial" w:hAnsi="Arial" w:cs="Arial"/>
          <w:b/>
        </w:rPr>
      </w:pPr>
      <w:r w:rsidRPr="00054EDA">
        <w:rPr>
          <w:rFonts w:ascii="Arial" w:hAnsi="Arial" w:cs="Arial"/>
          <w:b/>
        </w:rPr>
        <w:t xml:space="preserve">Protections and </w:t>
      </w:r>
      <w:proofErr w:type="gramStart"/>
      <w:r w:rsidR="00CC02E0" w:rsidRPr="00054EDA">
        <w:rPr>
          <w:rFonts w:ascii="Arial" w:hAnsi="Arial" w:cs="Arial"/>
          <w:b/>
        </w:rPr>
        <w:t>reasonable</w:t>
      </w:r>
      <w:proofErr w:type="gramEnd"/>
      <w:r w:rsidR="00CC02E0" w:rsidRPr="00054EDA">
        <w:rPr>
          <w:rFonts w:ascii="Arial" w:hAnsi="Arial" w:cs="Arial"/>
          <w:b/>
        </w:rPr>
        <w:t xml:space="preserve"> practicable steps</w:t>
      </w:r>
      <w:r w:rsidR="00CC02E0">
        <w:rPr>
          <w:rFonts w:ascii="Arial" w:hAnsi="Arial" w:cs="Arial"/>
          <w:b/>
        </w:rPr>
        <w:t>:</w:t>
      </w:r>
      <w:r w:rsidR="00CC02E0" w:rsidRPr="00054EDA">
        <w:rPr>
          <w:rFonts w:ascii="Arial" w:hAnsi="Arial" w:cs="Arial"/>
          <w:b/>
        </w:rPr>
        <w:t xml:space="preserve"> </w:t>
      </w:r>
      <w:r w:rsidR="00DA1F5E" w:rsidRPr="00054EDA">
        <w:rPr>
          <w:rFonts w:ascii="Arial" w:hAnsi="Arial" w:cs="Arial"/>
          <w:b/>
        </w:rPr>
        <w:tab/>
      </w:r>
    </w:p>
    <w:p w14:paraId="082BDE8F" w14:textId="77777777" w:rsidR="00BF3264" w:rsidRPr="00054EDA" w:rsidRDefault="00910DDB" w:rsidP="00054EDA">
      <w:pPr>
        <w:spacing w:before="240" w:after="240" w:line="360" w:lineRule="auto"/>
        <w:rPr>
          <w:rFonts w:ascii="Arial" w:hAnsi="Arial" w:cs="Arial"/>
        </w:rPr>
      </w:pPr>
      <w:r w:rsidRPr="00054EDA">
        <w:rPr>
          <w:rFonts w:ascii="Arial" w:hAnsi="Arial" w:cs="Arial"/>
        </w:rPr>
        <w:t xml:space="preserve">The law requires all parties to demonstrate that you took reasonable steps to prevent a breach from occurring in your workplace or as a result of your activities. There are no limits to the ways in which you can do this. </w:t>
      </w:r>
    </w:p>
    <w:p w14:paraId="1605D0F2" w14:textId="77777777" w:rsidR="005A058C" w:rsidRPr="00054EDA" w:rsidRDefault="00910DDB" w:rsidP="00054EDA">
      <w:pPr>
        <w:spacing w:before="240" w:after="240" w:line="360" w:lineRule="auto"/>
        <w:rPr>
          <w:rFonts w:ascii="Arial" w:hAnsi="Arial" w:cs="Arial"/>
        </w:rPr>
      </w:pPr>
      <w:r w:rsidRPr="00054EDA">
        <w:rPr>
          <w:rFonts w:ascii="Arial" w:hAnsi="Arial" w:cs="Arial"/>
        </w:rPr>
        <w:t>To reduce your chances</w:t>
      </w:r>
      <w:r w:rsidR="005A058C" w:rsidRPr="00054EDA">
        <w:rPr>
          <w:rFonts w:ascii="Arial" w:hAnsi="Arial" w:cs="Arial"/>
        </w:rPr>
        <w:t xml:space="preserve"> of contributing to a breach: </w:t>
      </w:r>
    </w:p>
    <w:p w14:paraId="782D81D8" w14:textId="77777777" w:rsidR="005A058C" w:rsidRPr="00054EDA" w:rsidRDefault="005A058C" w:rsidP="006B62B6">
      <w:pPr>
        <w:pStyle w:val="ListParagraph"/>
        <w:numPr>
          <w:ilvl w:val="0"/>
          <w:numId w:val="7"/>
        </w:numPr>
        <w:spacing w:before="240" w:after="240" w:line="360" w:lineRule="auto"/>
        <w:contextualSpacing w:val="0"/>
        <w:rPr>
          <w:rFonts w:ascii="Arial" w:hAnsi="Arial" w:cs="Arial"/>
        </w:rPr>
      </w:pPr>
      <w:r w:rsidRPr="00054EDA">
        <w:rPr>
          <w:rFonts w:ascii="Arial" w:hAnsi="Arial" w:cs="Arial"/>
        </w:rPr>
        <w:t>Identify and assess risks</w:t>
      </w:r>
      <w:r w:rsidR="00E3079D">
        <w:rPr>
          <w:rFonts w:ascii="Arial" w:hAnsi="Arial" w:cs="Arial"/>
        </w:rPr>
        <w:t>,</w:t>
      </w:r>
      <w:r w:rsidRPr="00054EDA">
        <w:rPr>
          <w:rFonts w:ascii="Arial" w:hAnsi="Arial" w:cs="Arial"/>
        </w:rPr>
        <w:t xml:space="preserve"> </w:t>
      </w:r>
    </w:p>
    <w:p w14:paraId="04DB2293" w14:textId="77777777" w:rsidR="005A058C" w:rsidRPr="00054EDA" w:rsidRDefault="00910DDB" w:rsidP="006B62B6">
      <w:pPr>
        <w:pStyle w:val="ListParagraph"/>
        <w:numPr>
          <w:ilvl w:val="0"/>
          <w:numId w:val="7"/>
        </w:numPr>
        <w:spacing w:before="240" w:after="240" w:line="360" w:lineRule="auto"/>
        <w:contextualSpacing w:val="0"/>
        <w:rPr>
          <w:rFonts w:ascii="Arial" w:hAnsi="Arial" w:cs="Arial"/>
        </w:rPr>
      </w:pPr>
      <w:r w:rsidRPr="00054EDA">
        <w:rPr>
          <w:rFonts w:ascii="Arial" w:hAnsi="Arial" w:cs="Arial"/>
        </w:rPr>
        <w:t>Take steps to eliminat</w:t>
      </w:r>
      <w:r w:rsidR="005A058C" w:rsidRPr="00054EDA">
        <w:rPr>
          <w:rFonts w:ascii="Arial" w:hAnsi="Arial" w:cs="Arial"/>
        </w:rPr>
        <w:t>e, manage or prevent the risk</w:t>
      </w:r>
      <w:r w:rsidR="00E3079D">
        <w:rPr>
          <w:rFonts w:ascii="Arial" w:hAnsi="Arial" w:cs="Arial"/>
        </w:rPr>
        <w:t>,</w:t>
      </w:r>
      <w:r w:rsidR="005A058C" w:rsidRPr="00054EDA">
        <w:rPr>
          <w:rFonts w:ascii="Arial" w:hAnsi="Arial" w:cs="Arial"/>
        </w:rPr>
        <w:t xml:space="preserve"> </w:t>
      </w:r>
    </w:p>
    <w:p w14:paraId="65CA127A" w14:textId="77777777" w:rsidR="004778B8" w:rsidRPr="00054EDA" w:rsidRDefault="00910DDB" w:rsidP="006B62B6">
      <w:pPr>
        <w:pStyle w:val="ListParagraph"/>
        <w:numPr>
          <w:ilvl w:val="0"/>
          <w:numId w:val="7"/>
        </w:numPr>
        <w:spacing w:before="240" w:after="240" w:line="360" w:lineRule="auto"/>
        <w:contextualSpacing w:val="0"/>
        <w:rPr>
          <w:rFonts w:ascii="Arial" w:hAnsi="Arial" w:cs="Arial"/>
        </w:rPr>
      </w:pPr>
      <w:r w:rsidRPr="00054EDA">
        <w:rPr>
          <w:rFonts w:ascii="Arial" w:hAnsi="Arial" w:cs="Arial"/>
        </w:rPr>
        <w:lastRenderedPageBreak/>
        <w:t>Monitor and review risk management processes</w:t>
      </w:r>
      <w:r w:rsidR="00E3079D">
        <w:rPr>
          <w:rFonts w:ascii="Arial" w:hAnsi="Arial" w:cs="Arial"/>
        </w:rPr>
        <w:t>,</w:t>
      </w:r>
    </w:p>
    <w:p w14:paraId="1433D18D" w14:textId="77777777" w:rsidR="005A058C" w:rsidRPr="00054EDA" w:rsidRDefault="005A058C" w:rsidP="006B62B6">
      <w:pPr>
        <w:pStyle w:val="ListParagraph"/>
        <w:numPr>
          <w:ilvl w:val="0"/>
          <w:numId w:val="7"/>
        </w:numPr>
        <w:spacing w:before="240" w:after="240" w:line="360" w:lineRule="auto"/>
        <w:contextualSpacing w:val="0"/>
        <w:rPr>
          <w:rFonts w:ascii="Arial" w:hAnsi="Arial" w:cs="Arial"/>
        </w:rPr>
      </w:pPr>
      <w:r w:rsidRPr="00054EDA">
        <w:rPr>
          <w:rFonts w:ascii="Arial" w:hAnsi="Arial" w:cs="Arial"/>
        </w:rPr>
        <w:t>Check your vehicle dimensions and weights</w:t>
      </w:r>
      <w:r w:rsidR="00E3079D">
        <w:rPr>
          <w:rFonts w:ascii="Arial" w:hAnsi="Arial" w:cs="Arial"/>
        </w:rPr>
        <w:t>,</w:t>
      </w:r>
      <w:r w:rsidRPr="00054EDA">
        <w:rPr>
          <w:rFonts w:ascii="Arial" w:hAnsi="Arial" w:cs="Arial"/>
        </w:rPr>
        <w:t xml:space="preserve"> </w:t>
      </w:r>
    </w:p>
    <w:p w14:paraId="22FAD209" w14:textId="77777777" w:rsidR="005A058C" w:rsidRPr="00054EDA" w:rsidRDefault="005A058C" w:rsidP="006B62B6">
      <w:pPr>
        <w:pStyle w:val="ListParagraph"/>
        <w:numPr>
          <w:ilvl w:val="0"/>
          <w:numId w:val="7"/>
        </w:numPr>
        <w:spacing w:before="240" w:after="240" w:line="360" w:lineRule="auto"/>
        <w:contextualSpacing w:val="0"/>
        <w:rPr>
          <w:rFonts w:ascii="Arial" w:hAnsi="Arial" w:cs="Arial"/>
        </w:rPr>
      </w:pPr>
      <w:r w:rsidRPr="00054EDA">
        <w:rPr>
          <w:rFonts w:ascii="Arial" w:hAnsi="Arial" w:cs="Arial"/>
        </w:rPr>
        <w:t>Ensure proper packing, placing and securing of loads</w:t>
      </w:r>
      <w:r w:rsidR="00E3079D">
        <w:rPr>
          <w:rFonts w:ascii="Arial" w:hAnsi="Arial" w:cs="Arial"/>
        </w:rPr>
        <w:t>,</w:t>
      </w:r>
      <w:r w:rsidRPr="00054EDA">
        <w:rPr>
          <w:rFonts w:ascii="Arial" w:hAnsi="Arial" w:cs="Arial"/>
        </w:rPr>
        <w:t xml:space="preserve"> </w:t>
      </w:r>
    </w:p>
    <w:p w14:paraId="0B586582" w14:textId="77777777" w:rsidR="005A058C" w:rsidRPr="00054EDA" w:rsidRDefault="005A058C" w:rsidP="006B62B6">
      <w:pPr>
        <w:pStyle w:val="ListParagraph"/>
        <w:numPr>
          <w:ilvl w:val="0"/>
          <w:numId w:val="7"/>
        </w:numPr>
        <w:spacing w:before="240" w:after="240" w:line="360" w:lineRule="auto"/>
        <w:contextualSpacing w:val="0"/>
        <w:rPr>
          <w:rFonts w:ascii="Arial" w:hAnsi="Arial" w:cs="Arial"/>
        </w:rPr>
      </w:pPr>
      <w:r w:rsidRPr="00054EDA">
        <w:rPr>
          <w:rFonts w:ascii="Arial" w:hAnsi="Arial" w:cs="Arial"/>
        </w:rPr>
        <w:t>Ensure your vehicle does not speed</w:t>
      </w:r>
      <w:r w:rsidR="00E3079D">
        <w:rPr>
          <w:rFonts w:ascii="Arial" w:hAnsi="Arial" w:cs="Arial"/>
        </w:rPr>
        <w:t>,</w:t>
      </w:r>
      <w:r w:rsidRPr="00054EDA">
        <w:rPr>
          <w:rFonts w:ascii="Arial" w:hAnsi="Arial" w:cs="Arial"/>
        </w:rPr>
        <w:t xml:space="preserve"> </w:t>
      </w:r>
    </w:p>
    <w:p w14:paraId="593AF595" w14:textId="77777777" w:rsidR="005A058C" w:rsidRPr="00054EDA" w:rsidRDefault="005A058C" w:rsidP="006B62B6">
      <w:pPr>
        <w:pStyle w:val="ListParagraph"/>
        <w:numPr>
          <w:ilvl w:val="0"/>
          <w:numId w:val="7"/>
        </w:numPr>
        <w:spacing w:before="240" w:after="240" w:line="360" w:lineRule="auto"/>
        <w:contextualSpacing w:val="0"/>
        <w:rPr>
          <w:rFonts w:ascii="Arial" w:hAnsi="Arial" w:cs="Arial"/>
        </w:rPr>
      </w:pPr>
      <w:r w:rsidRPr="00054EDA">
        <w:rPr>
          <w:rFonts w:ascii="Arial" w:hAnsi="Arial" w:cs="Arial"/>
        </w:rPr>
        <w:t>Ensure the vehicle is roadworthy by conducting daily pre-checks of your vehicle</w:t>
      </w:r>
      <w:r w:rsidR="00E3079D">
        <w:rPr>
          <w:rFonts w:ascii="Arial" w:hAnsi="Arial" w:cs="Arial"/>
        </w:rPr>
        <w:t>,</w:t>
      </w:r>
      <w:r w:rsidRPr="00054EDA">
        <w:rPr>
          <w:rFonts w:ascii="Arial" w:hAnsi="Arial" w:cs="Arial"/>
        </w:rPr>
        <w:t xml:space="preserve"> </w:t>
      </w:r>
    </w:p>
    <w:p w14:paraId="45EC284D" w14:textId="77777777" w:rsidR="005A058C" w:rsidRPr="00054EDA" w:rsidRDefault="005A058C" w:rsidP="006B62B6">
      <w:pPr>
        <w:pStyle w:val="ListParagraph"/>
        <w:numPr>
          <w:ilvl w:val="0"/>
          <w:numId w:val="7"/>
        </w:numPr>
        <w:spacing w:before="240" w:after="240" w:line="360" w:lineRule="auto"/>
        <w:contextualSpacing w:val="0"/>
        <w:rPr>
          <w:rFonts w:ascii="Arial" w:hAnsi="Arial" w:cs="Arial"/>
        </w:rPr>
      </w:pPr>
      <w:r w:rsidRPr="00054EDA">
        <w:rPr>
          <w:rFonts w:ascii="Arial" w:hAnsi="Arial" w:cs="Arial"/>
        </w:rPr>
        <w:t>Reporting suspected breaches</w:t>
      </w:r>
      <w:r w:rsidR="00E3079D">
        <w:rPr>
          <w:rFonts w:ascii="Arial" w:hAnsi="Arial" w:cs="Arial"/>
        </w:rPr>
        <w:t>,</w:t>
      </w:r>
      <w:r w:rsidRPr="00054EDA">
        <w:rPr>
          <w:rFonts w:ascii="Arial" w:hAnsi="Arial" w:cs="Arial"/>
        </w:rPr>
        <w:t xml:space="preserve"> </w:t>
      </w:r>
    </w:p>
    <w:p w14:paraId="0FD2DD47" w14:textId="77777777" w:rsidR="005A058C" w:rsidRPr="00054EDA" w:rsidRDefault="005A058C" w:rsidP="006B62B6">
      <w:pPr>
        <w:pStyle w:val="ListParagraph"/>
        <w:numPr>
          <w:ilvl w:val="0"/>
          <w:numId w:val="7"/>
        </w:numPr>
        <w:spacing w:before="240" w:after="240" w:line="360" w:lineRule="auto"/>
        <w:contextualSpacing w:val="0"/>
        <w:rPr>
          <w:rFonts w:ascii="Arial" w:hAnsi="Arial" w:cs="Arial"/>
        </w:rPr>
      </w:pPr>
      <w:r w:rsidRPr="00054EDA">
        <w:rPr>
          <w:rFonts w:ascii="Arial" w:hAnsi="Arial" w:cs="Arial"/>
        </w:rPr>
        <w:t>Reporting maintenance defects</w:t>
      </w:r>
      <w:r w:rsidR="00E3079D">
        <w:rPr>
          <w:rFonts w:ascii="Arial" w:hAnsi="Arial" w:cs="Arial"/>
        </w:rPr>
        <w:t>,</w:t>
      </w:r>
      <w:r w:rsidRPr="00054EDA">
        <w:rPr>
          <w:rFonts w:ascii="Arial" w:hAnsi="Arial" w:cs="Arial"/>
        </w:rPr>
        <w:t xml:space="preserve"> </w:t>
      </w:r>
    </w:p>
    <w:p w14:paraId="277FB553" w14:textId="77777777" w:rsidR="005A058C" w:rsidRPr="00054EDA" w:rsidRDefault="005A058C" w:rsidP="006B62B6">
      <w:pPr>
        <w:pStyle w:val="ListParagraph"/>
        <w:numPr>
          <w:ilvl w:val="0"/>
          <w:numId w:val="7"/>
        </w:numPr>
        <w:spacing w:before="240" w:after="240" w:line="360" w:lineRule="auto"/>
        <w:contextualSpacing w:val="0"/>
        <w:rPr>
          <w:rFonts w:ascii="Arial" w:hAnsi="Arial" w:cs="Arial"/>
        </w:rPr>
      </w:pPr>
      <w:r w:rsidRPr="00054EDA">
        <w:rPr>
          <w:rFonts w:ascii="Arial" w:hAnsi="Arial" w:cs="Arial"/>
        </w:rPr>
        <w:t>Suspending drivers with known defects and maintenance issues</w:t>
      </w:r>
      <w:r w:rsidR="00E3079D">
        <w:rPr>
          <w:rFonts w:ascii="Arial" w:hAnsi="Arial" w:cs="Arial"/>
        </w:rPr>
        <w:t>,</w:t>
      </w:r>
      <w:r w:rsidRPr="00054EDA">
        <w:rPr>
          <w:rFonts w:ascii="Arial" w:hAnsi="Arial" w:cs="Arial"/>
        </w:rPr>
        <w:t xml:space="preserve"> </w:t>
      </w:r>
    </w:p>
    <w:p w14:paraId="695C0465" w14:textId="77777777" w:rsidR="005A058C" w:rsidRPr="00054EDA" w:rsidRDefault="005A058C" w:rsidP="006B62B6">
      <w:pPr>
        <w:pStyle w:val="ListParagraph"/>
        <w:numPr>
          <w:ilvl w:val="0"/>
          <w:numId w:val="7"/>
        </w:numPr>
        <w:spacing w:before="240" w:after="240" w:line="360" w:lineRule="auto"/>
        <w:contextualSpacing w:val="0"/>
        <w:rPr>
          <w:rFonts w:ascii="Arial" w:hAnsi="Arial" w:cs="Arial"/>
        </w:rPr>
      </w:pPr>
      <w:r w:rsidRPr="00054EDA">
        <w:rPr>
          <w:rFonts w:ascii="Arial" w:hAnsi="Arial" w:cs="Arial"/>
        </w:rPr>
        <w:t>Managing and monitoring speed and driver hours</w:t>
      </w:r>
      <w:r w:rsidR="00E3079D">
        <w:rPr>
          <w:rFonts w:ascii="Arial" w:hAnsi="Arial" w:cs="Arial"/>
        </w:rPr>
        <w:t>,</w:t>
      </w:r>
      <w:r w:rsidRPr="00054EDA">
        <w:rPr>
          <w:rFonts w:ascii="Arial" w:hAnsi="Arial" w:cs="Arial"/>
        </w:rPr>
        <w:t xml:space="preserve"> </w:t>
      </w:r>
    </w:p>
    <w:p w14:paraId="0A218F54" w14:textId="77777777" w:rsidR="005A058C" w:rsidRPr="00054EDA" w:rsidRDefault="005A058C" w:rsidP="006B62B6">
      <w:pPr>
        <w:pStyle w:val="ListParagraph"/>
        <w:numPr>
          <w:ilvl w:val="0"/>
          <w:numId w:val="7"/>
        </w:numPr>
        <w:spacing w:before="240" w:after="240" w:line="360" w:lineRule="auto"/>
        <w:contextualSpacing w:val="0"/>
        <w:rPr>
          <w:rFonts w:ascii="Arial" w:hAnsi="Arial" w:cs="Arial"/>
        </w:rPr>
      </w:pPr>
      <w:r w:rsidRPr="00054EDA">
        <w:rPr>
          <w:rFonts w:ascii="Arial" w:hAnsi="Arial" w:cs="Arial"/>
        </w:rPr>
        <w:t>Question requests that may cause breaches of the law</w:t>
      </w:r>
      <w:r w:rsidR="00E3079D">
        <w:rPr>
          <w:rFonts w:ascii="Arial" w:hAnsi="Arial" w:cs="Arial"/>
        </w:rPr>
        <w:t>.</w:t>
      </w:r>
    </w:p>
    <w:p w14:paraId="44844DED" w14:textId="77777777" w:rsidR="005A058C" w:rsidRPr="00054EDA" w:rsidRDefault="005A058C" w:rsidP="00054EDA">
      <w:pPr>
        <w:spacing w:before="240" w:after="240" w:line="360" w:lineRule="auto"/>
        <w:rPr>
          <w:rFonts w:ascii="Arial" w:hAnsi="Arial" w:cs="Arial"/>
          <w:b/>
        </w:rPr>
      </w:pPr>
      <w:r w:rsidRPr="00054EDA">
        <w:rPr>
          <w:rFonts w:ascii="Arial" w:hAnsi="Arial" w:cs="Arial"/>
          <w:b/>
        </w:rPr>
        <w:t xml:space="preserve">Corporate and </w:t>
      </w:r>
      <w:r w:rsidR="006B62B6" w:rsidRPr="00054EDA">
        <w:rPr>
          <w:rFonts w:ascii="Arial" w:hAnsi="Arial" w:cs="Arial"/>
          <w:b/>
        </w:rPr>
        <w:t>organisational liability</w:t>
      </w:r>
      <w:r w:rsidR="006B62B6">
        <w:rPr>
          <w:rFonts w:ascii="Arial" w:hAnsi="Arial" w:cs="Arial"/>
          <w:b/>
        </w:rPr>
        <w:t>:</w:t>
      </w:r>
      <w:r w:rsidR="006B62B6" w:rsidRPr="00054EDA">
        <w:rPr>
          <w:rFonts w:ascii="Arial" w:hAnsi="Arial" w:cs="Arial"/>
          <w:b/>
        </w:rPr>
        <w:t xml:space="preserve"> </w:t>
      </w:r>
    </w:p>
    <w:p w14:paraId="22AE50B8" w14:textId="77777777" w:rsidR="00730EA0" w:rsidRPr="00054EDA" w:rsidRDefault="005A058C" w:rsidP="00054EDA">
      <w:pPr>
        <w:spacing w:before="240" w:after="240" w:line="360" w:lineRule="auto"/>
        <w:rPr>
          <w:rFonts w:ascii="Arial" w:hAnsi="Arial" w:cs="Arial"/>
        </w:rPr>
      </w:pPr>
      <w:r w:rsidRPr="00054EDA">
        <w:rPr>
          <w:rFonts w:ascii="Arial" w:hAnsi="Arial" w:cs="Arial"/>
        </w:rPr>
        <w:t>Under the laws</w:t>
      </w:r>
      <w:r w:rsidR="006B62B6">
        <w:rPr>
          <w:rFonts w:ascii="Arial" w:hAnsi="Arial" w:cs="Arial"/>
        </w:rPr>
        <w:t>,</w:t>
      </w:r>
      <w:r w:rsidRPr="00054EDA">
        <w:rPr>
          <w:rFonts w:ascii="Arial" w:hAnsi="Arial" w:cs="Arial"/>
        </w:rPr>
        <w:t xml:space="preserve"> a party (corporation, partnership, unincorporated association or other body corporate) is also liable for any offences committed by its employees, directors or officers. </w:t>
      </w:r>
    </w:p>
    <w:p w14:paraId="145B7199" w14:textId="77777777" w:rsidR="00730EA0" w:rsidRPr="00054EDA" w:rsidRDefault="005A058C" w:rsidP="00054EDA">
      <w:pPr>
        <w:spacing w:before="240" w:after="240" w:line="360" w:lineRule="auto"/>
        <w:rPr>
          <w:rFonts w:ascii="Arial" w:hAnsi="Arial" w:cs="Arial"/>
          <w:b/>
        </w:rPr>
      </w:pPr>
      <w:r w:rsidRPr="00054EDA">
        <w:rPr>
          <w:rFonts w:ascii="Arial" w:hAnsi="Arial" w:cs="Arial"/>
          <w:b/>
        </w:rPr>
        <w:t xml:space="preserve">Managerial </w:t>
      </w:r>
      <w:r w:rsidR="006B62B6">
        <w:rPr>
          <w:rFonts w:ascii="Arial" w:hAnsi="Arial" w:cs="Arial"/>
          <w:b/>
        </w:rPr>
        <w:t>l</w:t>
      </w:r>
      <w:r w:rsidR="00654AC4" w:rsidRPr="00054EDA">
        <w:rPr>
          <w:rFonts w:ascii="Arial" w:hAnsi="Arial" w:cs="Arial"/>
          <w:b/>
        </w:rPr>
        <w:t>iability</w:t>
      </w:r>
      <w:r w:rsidR="006B62B6">
        <w:rPr>
          <w:rFonts w:ascii="Arial" w:hAnsi="Arial" w:cs="Arial"/>
          <w:b/>
        </w:rPr>
        <w:t>:</w:t>
      </w:r>
      <w:r w:rsidR="00654AC4" w:rsidRPr="00054EDA">
        <w:rPr>
          <w:rFonts w:ascii="Arial" w:hAnsi="Arial" w:cs="Arial"/>
          <w:b/>
        </w:rPr>
        <w:t xml:space="preserve"> </w:t>
      </w:r>
    </w:p>
    <w:p w14:paraId="1321AA64" w14:textId="77777777" w:rsidR="00654AC4" w:rsidRPr="00054EDA" w:rsidRDefault="005A058C" w:rsidP="00054EDA">
      <w:pPr>
        <w:spacing w:before="240" w:after="240" w:line="360" w:lineRule="auto"/>
        <w:rPr>
          <w:rFonts w:ascii="Arial" w:hAnsi="Arial" w:cs="Arial"/>
        </w:rPr>
      </w:pPr>
      <w:r w:rsidRPr="00054EDA">
        <w:rPr>
          <w:rFonts w:ascii="Arial" w:hAnsi="Arial" w:cs="Arial"/>
        </w:rPr>
        <w:t xml:space="preserve">Where a corporation, partnership or other body corporate commits an offence, anyone who is involved in the management of the organisation may also be personally responsible. For example, employers may be liable for any offences committed by their employees. </w:t>
      </w:r>
    </w:p>
    <w:p w14:paraId="0D926D76" w14:textId="77777777" w:rsidR="00730EA0" w:rsidRPr="00054EDA" w:rsidRDefault="005A058C" w:rsidP="00054EDA">
      <w:pPr>
        <w:spacing w:before="240" w:after="240" w:line="360" w:lineRule="auto"/>
        <w:rPr>
          <w:rFonts w:ascii="Arial" w:hAnsi="Arial" w:cs="Arial"/>
        </w:rPr>
      </w:pPr>
      <w:r w:rsidRPr="00054EDA">
        <w:rPr>
          <w:rFonts w:ascii="Arial" w:hAnsi="Arial" w:cs="Arial"/>
        </w:rPr>
        <w:t>Other mana</w:t>
      </w:r>
      <w:r w:rsidR="00730EA0" w:rsidRPr="00054EDA">
        <w:rPr>
          <w:rFonts w:ascii="Arial" w:hAnsi="Arial" w:cs="Arial"/>
        </w:rPr>
        <w:t xml:space="preserve">gerial liability may include: </w:t>
      </w:r>
    </w:p>
    <w:p w14:paraId="457E0502" w14:textId="77777777" w:rsidR="00730EA0" w:rsidRPr="00054EDA" w:rsidRDefault="005A058C" w:rsidP="006B62B6">
      <w:pPr>
        <w:pStyle w:val="ListParagraph"/>
        <w:numPr>
          <w:ilvl w:val="0"/>
          <w:numId w:val="8"/>
        </w:numPr>
        <w:spacing w:before="240" w:after="240" w:line="360" w:lineRule="auto"/>
        <w:contextualSpacing w:val="0"/>
        <w:rPr>
          <w:rFonts w:ascii="Arial" w:hAnsi="Arial" w:cs="Arial"/>
        </w:rPr>
      </w:pPr>
      <w:r w:rsidRPr="00054EDA">
        <w:rPr>
          <w:rFonts w:ascii="Arial" w:hAnsi="Arial" w:cs="Arial"/>
        </w:rPr>
        <w:t>Directo</w:t>
      </w:r>
      <w:r w:rsidR="00730EA0" w:rsidRPr="00054EDA">
        <w:rPr>
          <w:rFonts w:ascii="Arial" w:hAnsi="Arial" w:cs="Arial"/>
        </w:rPr>
        <w:t>rs or managers of the company</w:t>
      </w:r>
      <w:r w:rsidR="006B62B6">
        <w:rPr>
          <w:rFonts w:ascii="Arial" w:hAnsi="Arial" w:cs="Arial"/>
        </w:rPr>
        <w:t>,</w:t>
      </w:r>
      <w:r w:rsidR="00730EA0" w:rsidRPr="00054EDA">
        <w:rPr>
          <w:rFonts w:ascii="Arial" w:hAnsi="Arial" w:cs="Arial"/>
        </w:rPr>
        <w:t xml:space="preserve"> </w:t>
      </w:r>
    </w:p>
    <w:p w14:paraId="0E92FFF6" w14:textId="77777777" w:rsidR="00730EA0" w:rsidRPr="00054EDA" w:rsidRDefault="00730EA0" w:rsidP="006B62B6">
      <w:pPr>
        <w:pStyle w:val="ListParagraph"/>
        <w:numPr>
          <w:ilvl w:val="0"/>
          <w:numId w:val="8"/>
        </w:numPr>
        <w:spacing w:before="240" w:after="240" w:line="360" w:lineRule="auto"/>
        <w:contextualSpacing w:val="0"/>
        <w:rPr>
          <w:rFonts w:ascii="Arial" w:hAnsi="Arial" w:cs="Arial"/>
        </w:rPr>
      </w:pPr>
      <w:r w:rsidRPr="00054EDA">
        <w:rPr>
          <w:rFonts w:ascii="Arial" w:hAnsi="Arial" w:cs="Arial"/>
        </w:rPr>
        <w:t>Partners in the partnership</w:t>
      </w:r>
      <w:r w:rsidR="006B62B6">
        <w:rPr>
          <w:rFonts w:ascii="Arial" w:hAnsi="Arial" w:cs="Arial"/>
        </w:rPr>
        <w:t>,</w:t>
      </w:r>
      <w:r w:rsidRPr="00054EDA">
        <w:rPr>
          <w:rFonts w:ascii="Arial" w:hAnsi="Arial" w:cs="Arial"/>
        </w:rPr>
        <w:t xml:space="preserve"> </w:t>
      </w:r>
    </w:p>
    <w:p w14:paraId="387238DD" w14:textId="77777777" w:rsidR="00730EA0" w:rsidRPr="00054EDA" w:rsidRDefault="005A058C" w:rsidP="006B62B6">
      <w:pPr>
        <w:pStyle w:val="ListParagraph"/>
        <w:numPr>
          <w:ilvl w:val="0"/>
          <w:numId w:val="8"/>
        </w:numPr>
        <w:spacing w:before="240" w:after="240" w:line="360" w:lineRule="auto"/>
        <w:contextualSpacing w:val="0"/>
        <w:rPr>
          <w:rFonts w:ascii="Arial" w:hAnsi="Arial" w:cs="Arial"/>
        </w:rPr>
      </w:pPr>
      <w:r w:rsidRPr="00054EDA">
        <w:rPr>
          <w:rFonts w:ascii="Arial" w:hAnsi="Arial" w:cs="Arial"/>
        </w:rPr>
        <w:t xml:space="preserve">Those involved in the management of unincorporated associations. </w:t>
      </w:r>
    </w:p>
    <w:p w14:paraId="10FC4E7B" w14:textId="77777777" w:rsidR="00DA1F5E" w:rsidRPr="00054EDA" w:rsidRDefault="005A058C" w:rsidP="00054EDA">
      <w:pPr>
        <w:spacing w:before="240" w:after="240" w:line="360" w:lineRule="auto"/>
        <w:rPr>
          <w:rFonts w:ascii="Arial" w:hAnsi="Arial" w:cs="Arial"/>
        </w:rPr>
      </w:pPr>
      <w:r w:rsidRPr="00054EDA">
        <w:rPr>
          <w:rFonts w:ascii="Arial" w:hAnsi="Arial" w:cs="Arial"/>
        </w:rPr>
        <w:t xml:space="preserve">Drivers </w:t>
      </w:r>
      <w:r w:rsidR="006B62B6" w:rsidRPr="00054EDA">
        <w:rPr>
          <w:rFonts w:ascii="Arial" w:hAnsi="Arial" w:cs="Arial"/>
        </w:rPr>
        <w:t xml:space="preserve">responsibility general </w:t>
      </w:r>
      <w:r w:rsidR="006B62B6">
        <w:rPr>
          <w:rFonts w:ascii="Arial" w:hAnsi="Arial" w:cs="Arial"/>
        </w:rPr>
        <w:t>d</w:t>
      </w:r>
      <w:r w:rsidR="006B62B6" w:rsidRPr="00054EDA">
        <w:rPr>
          <w:rFonts w:ascii="Arial" w:hAnsi="Arial" w:cs="Arial"/>
        </w:rPr>
        <w:t xml:space="preserve">uty </w:t>
      </w:r>
      <w:r w:rsidRPr="00054EDA">
        <w:rPr>
          <w:rFonts w:ascii="Arial" w:hAnsi="Arial" w:cs="Arial"/>
        </w:rPr>
        <w:t>(</w:t>
      </w:r>
      <w:proofErr w:type="gramStart"/>
      <w:r w:rsidRPr="00054EDA">
        <w:rPr>
          <w:rFonts w:ascii="Arial" w:hAnsi="Arial" w:cs="Arial"/>
        </w:rPr>
        <w:t>similar to</w:t>
      </w:r>
      <w:proofErr w:type="gramEnd"/>
      <w:r w:rsidRPr="00054EDA">
        <w:rPr>
          <w:rFonts w:ascii="Arial" w:hAnsi="Arial" w:cs="Arial"/>
        </w:rPr>
        <w:t xml:space="preserve"> occupational health and safety laws) requires all heavy vehicle drivers to take all reasonable steps to prevent the fatigue. They are</w:t>
      </w:r>
      <w:r w:rsidR="006B62B6">
        <w:rPr>
          <w:rFonts w:ascii="Arial" w:hAnsi="Arial" w:cs="Arial"/>
        </w:rPr>
        <w:t xml:space="preserve"> also</w:t>
      </w:r>
      <w:r w:rsidRPr="00054EDA">
        <w:rPr>
          <w:rFonts w:ascii="Arial" w:hAnsi="Arial" w:cs="Arial"/>
        </w:rPr>
        <w:t xml:space="preserve"> responsible for the loading of their own vehicle. </w:t>
      </w:r>
    </w:p>
    <w:p w14:paraId="3A5B7025" w14:textId="77777777" w:rsidR="00730EA0" w:rsidRPr="00054EDA" w:rsidRDefault="00730EA0" w:rsidP="00054EDA">
      <w:pPr>
        <w:spacing w:before="240" w:after="240" w:line="360" w:lineRule="auto"/>
        <w:rPr>
          <w:rFonts w:ascii="Arial" w:hAnsi="Arial" w:cs="Arial"/>
        </w:rPr>
      </w:pPr>
      <w:r w:rsidRPr="00054EDA">
        <w:rPr>
          <w:rFonts w:ascii="Arial" w:hAnsi="Arial" w:cs="Arial"/>
        </w:rPr>
        <w:lastRenderedPageBreak/>
        <w:t xml:space="preserve">This means that </w:t>
      </w:r>
      <w:r w:rsidR="006B62B6">
        <w:rPr>
          <w:rFonts w:ascii="Arial" w:hAnsi="Arial" w:cs="Arial"/>
        </w:rPr>
        <w:t>d</w:t>
      </w:r>
      <w:r w:rsidRPr="00054EDA">
        <w:rPr>
          <w:rFonts w:ascii="Arial" w:hAnsi="Arial" w:cs="Arial"/>
        </w:rPr>
        <w:t xml:space="preserve">rivers must: </w:t>
      </w:r>
    </w:p>
    <w:p w14:paraId="60E9FC67" w14:textId="77777777" w:rsidR="00730EA0" w:rsidRPr="00054EDA" w:rsidRDefault="005A058C" w:rsidP="00391D99">
      <w:pPr>
        <w:pStyle w:val="ListParagraph"/>
        <w:numPr>
          <w:ilvl w:val="0"/>
          <w:numId w:val="9"/>
        </w:numPr>
        <w:spacing w:before="240" w:after="240" w:line="360" w:lineRule="auto"/>
        <w:contextualSpacing w:val="0"/>
        <w:rPr>
          <w:rFonts w:ascii="Arial" w:hAnsi="Arial" w:cs="Arial"/>
        </w:rPr>
      </w:pPr>
      <w:r w:rsidRPr="00054EDA">
        <w:rPr>
          <w:rFonts w:ascii="Arial" w:hAnsi="Arial" w:cs="Arial"/>
        </w:rPr>
        <w:t>S</w:t>
      </w:r>
      <w:r w:rsidR="00730EA0" w:rsidRPr="00054EDA">
        <w:rPr>
          <w:rFonts w:ascii="Arial" w:hAnsi="Arial" w:cs="Arial"/>
        </w:rPr>
        <w:t>top if they are feeling tired</w:t>
      </w:r>
      <w:r w:rsidR="000D3836">
        <w:rPr>
          <w:rFonts w:ascii="Arial" w:hAnsi="Arial" w:cs="Arial"/>
        </w:rPr>
        <w:t>,</w:t>
      </w:r>
      <w:r w:rsidR="00730EA0" w:rsidRPr="00054EDA">
        <w:rPr>
          <w:rFonts w:ascii="Arial" w:hAnsi="Arial" w:cs="Arial"/>
        </w:rPr>
        <w:t xml:space="preserve"> </w:t>
      </w:r>
    </w:p>
    <w:p w14:paraId="0B84E7C5" w14:textId="77777777" w:rsidR="00730EA0" w:rsidRPr="00054EDA" w:rsidRDefault="005A058C" w:rsidP="00391D99">
      <w:pPr>
        <w:pStyle w:val="ListParagraph"/>
        <w:numPr>
          <w:ilvl w:val="0"/>
          <w:numId w:val="9"/>
        </w:numPr>
        <w:spacing w:before="240" w:after="240" w:line="360" w:lineRule="auto"/>
        <w:contextualSpacing w:val="0"/>
        <w:rPr>
          <w:rFonts w:ascii="Arial" w:hAnsi="Arial" w:cs="Arial"/>
        </w:rPr>
      </w:pPr>
      <w:r w:rsidRPr="00054EDA">
        <w:rPr>
          <w:rFonts w:ascii="Arial" w:hAnsi="Arial" w:cs="Arial"/>
        </w:rPr>
        <w:t>Never load their vehicle over load limit capacity of</w:t>
      </w:r>
      <w:r w:rsidR="00730EA0" w:rsidRPr="00054EDA">
        <w:rPr>
          <w:rFonts w:ascii="Arial" w:hAnsi="Arial" w:cs="Arial"/>
        </w:rPr>
        <w:t xml:space="preserve"> the vehicle they are driving</w:t>
      </w:r>
      <w:r w:rsidR="000D3836">
        <w:rPr>
          <w:rFonts w:ascii="Arial" w:hAnsi="Arial" w:cs="Arial"/>
        </w:rPr>
        <w:t>,</w:t>
      </w:r>
      <w:r w:rsidR="00730EA0" w:rsidRPr="00054EDA">
        <w:rPr>
          <w:rFonts w:ascii="Arial" w:hAnsi="Arial" w:cs="Arial"/>
        </w:rPr>
        <w:t xml:space="preserve"> </w:t>
      </w:r>
    </w:p>
    <w:p w14:paraId="04BC16B5" w14:textId="77777777" w:rsidR="00730EA0" w:rsidRPr="00054EDA" w:rsidRDefault="005A058C" w:rsidP="00391D99">
      <w:pPr>
        <w:pStyle w:val="ListParagraph"/>
        <w:numPr>
          <w:ilvl w:val="0"/>
          <w:numId w:val="9"/>
        </w:numPr>
        <w:spacing w:before="240" w:after="240" w:line="360" w:lineRule="auto"/>
        <w:contextualSpacing w:val="0"/>
        <w:rPr>
          <w:rFonts w:ascii="Arial" w:hAnsi="Arial" w:cs="Arial"/>
        </w:rPr>
      </w:pPr>
      <w:r w:rsidRPr="00054EDA">
        <w:rPr>
          <w:rFonts w:ascii="Arial" w:hAnsi="Arial" w:cs="Arial"/>
        </w:rPr>
        <w:t>Ensure the correct restraints are used ac</w:t>
      </w:r>
      <w:r w:rsidR="00730EA0" w:rsidRPr="00054EDA">
        <w:rPr>
          <w:rFonts w:ascii="Arial" w:hAnsi="Arial" w:cs="Arial"/>
        </w:rPr>
        <w:t>cordingly to the load capacity</w:t>
      </w:r>
      <w:r w:rsidR="000D3836">
        <w:rPr>
          <w:rFonts w:ascii="Arial" w:hAnsi="Arial" w:cs="Arial"/>
        </w:rPr>
        <w:t>,</w:t>
      </w:r>
      <w:r w:rsidR="00730EA0" w:rsidRPr="00054EDA">
        <w:rPr>
          <w:rFonts w:ascii="Arial" w:hAnsi="Arial" w:cs="Arial"/>
        </w:rPr>
        <w:t xml:space="preserve"> </w:t>
      </w:r>
    </w:p>
    <w:p w14:paraId="3EBFE2B0" w14:textId="77777777" w:rsidR="00730EA0" w:rsidRPr="00054EDA" w:rsidRDefault="005A058C" w:rsidP="00391D99">
      <w:pPr>
        <w:pStyle w:val="ListParagraph"/>
        <w:numPr>
          <w:ilvl w:val="0"/>
          <w:numId w:val="9"/>
        </w:numPr>
        <w:spacing w:before="240" w:after="240" w:line="360" w:lineRule="auto"/>
        <w:contextualSpacing w:val="0"/>
        <w:rPr>
          <w:rFonts w:ascii="Arial" w:hAnsi="Arial" w:cs="Arial"/>
        </w:rPr>
      </w:pPr>
      <w:r w:rsidRPr="00054EDA">
        <w:rPr>
          <w:rFonts w:ascii="Arial" w:hAnsi="Arial" w:cs="Arial"/>
        </w:rPr>
        <w:t>Ensure the</w:t>
      </w:r>
      <w:r w:rsidR="00730EA0" w:rsidRPr="00054EDA">
        <w:rPr>
          <w:rFonts w:ascii="Arial" w:hAnsi="Arial" w:cs="Arial"/>
        </w:rPr>
        <w:t xml:space="preserve"> load dimensions are accurate</w:t>
      </w:r>
      <w:r w:rsidR="000D3836">
        <w:rPr>
          <w:rFonts w:ascii="Arial" w:hAnsi="Arial" w:cs="Arial"/>
        </w:rPr>
        <w:t>,</w:t>
      </w:r>
      <w:r w:rsidR="00730EA0" w:rsidRPr="00054EDA">
        <w:rPr>
          <w:rFonts w:ascii="Arial" w:hAnsi="Arial" w:cs="Arial"/>
        </w:rPr>
        <w:t xml:space="preserve"> </w:t>
      </w:r>
    </w:p>
    <w:p w14:paraId="626857F9" w14:textId="77777777" w:rsidR="00730EA0" w:rsidRPr="00054EDA" w:rsidRDefault="00730EA0" w:rsidP="00391D99">
      <w:pPr>
        <w:pStyle w:val="ListParagraph"/>
        <w:numPr>
          <w:ilvl w:val="0"/>
          <w:numId w:val="9"/>
        </w:numPr>
        <w:spacing w:before="240" w:after="240" w:line="360" w:lineRule="auto"/>
        <w:contextualSpacing w:val="0"/>
        <w:rPr>
          <w:rFonts w:ascii="Arial" w:hAnsi="Arial" w:cs="Arial"/>
        </w:rPr>
      </w:pPr>
      <w:r w:rsidRPr="00054EDA">
        <w:rPr>
          <w:rFonts w:ascii="Arial" w:hAnsi="Arial" w:cs="Arial"/>
        </w:rPr>
        <w:t>Keep a diary of their hours</w:t>
      </w:r>
      <w:r w:rsidR="000D3836">
        <w:rPr>
          <w:rFonts w:ascii="Arial" w:hAnsi="Arial" w:cs="Arial"/>
        </w:rPr>
        <w:t>,</w:t>
      </w:r>
      <w:r w:rsidRPr="00054EDA">
        <w:rPr>
          <w:rFonts w:ascii="Arial" w:hAnsi="Arial" w:cs="Arial"/>
        </w:rPr>
        <w:t xml:space="preserve"> </w:t>
      </w:r>
    </w:p>
    <w:p w14:paraId="5803C3B9" w14:textId="77777777" w:rsidR="00730EA0" w:rsidRPr="00054EDA" w:rsidRDefault="005A058C" w:rsidP="00391D99">
      <w:pPr>
        <w:pStyle w:val="ListParagraph"/>
        <w:numPr>
          <w:ilvl w:val="0"/>
          <w:numId w:val="9"/>
        </w:numPr>
        <w:spacing w:before="240" w:after="240" w:line="360" w:lineRule="auto"/>
        <w:contextualSpacing w:val="0"/>
        <w:rPr>
          <w:rFonts w:ascii="Arial" w:hAnsi="Arial" w:cs="Arial"/>
        </w:rPr>
      </w:pPr>
      <w:r w:rsidRPr="00054EDA">
        <w:rPr>
          <w:rFonts w:ascii="Arial" w:hAnsi="Arial" w:cs="Arial"/>
        </w:rPr>
        <w:t>Maintain the vehicle regularly and submit maintenance records to</w:t>
      </w:r>
      <w:r w:rsidR="00730EA0" w:rsidRPr="00054EDA">
        <w:rPr>
          <w:rFonts w:ascii="Arial" w:hAnsi="Arial" w:cs="Arial"/>
        </w:rPr>
        <w:t xml:space="preserve"> the </w:t>
      </w:r>
      <w:r w:rsidR="000D3836" w:rsidRPr="00054EDA">
        <w:rPr>
          <w:rFonts w:ascii="Arial" w:hAnsi="Arial" w:cs="Arial"/>
        </w:rPr>
        <w:t xml:space="preserve">fleet manager </w:t>
      </w:r>
      <w:r w:rsidR="00730EA0" w:rsidRPr="00054EDA">
        <w:rPr>
          <w:rFonts w:ascii="Arial" w:hAnsi="Arial" w:cs="Arial"/>
        </w:rPr>
        <w:t>for review</w:t>
      </w:r>
      <w:r w:rsidR="000D3836">
        <w:rPr>
          <w:rFonts w:ascii="Arial" w:hAnsi="Arial" w:cs="Arial"/>
        </w:rPr>
        <w:t>,</w:t>
      </w:r>
      <w:r w:rsidR="00730EA0" w:rsidRPr="00054EDA">
        <w:rPr>
          <w:rFonts w:ascii="Arial" w:hAnsi="Arial" w:cs="Arial"/>
        </w:rPr>
        <w:t xml:space="preserve"> </w:t>
      </w:r>
    </w:p>
    <w:p w14:paraId="23786900" w14:textId="77777777" w:rsidR="00730EA0" w:rsidRPr="00054EDA" w:rsidRDefault="005A058C" w:rsidP="00391D99">
      <w:pPr>
        <w:pStyle w:val="ListParagraph"/>
        <w:numPr>
          <w:ilvl w:val="0"/>
          <w:numId w:val="9"/>
        </w:numPr>
        <w:spacing w:before="240" w:after="240" w:line="360" w:lineRule="auto"/>
        <w:contextualSpacing w:val="0"/>
        <w:rPr>
          <w:rFonts w:ascii="Arial" w:hAnsi="Arial" w:cs="Arial"/>
        </w:rPr>
      </w:pPr>
      <w:r w:rsidRPr="00054EDA">
        <w:rPr>
          <w:rFonts w:ascii="Arial" w:hAnsi="Arial" w:cs="Arial"/>
        </w:rPr>
        <w:t>Conduct daily pre-check of the vehicle to ensure its safety e</w:t>
      </w:r>
      <w:r w:rsidR="00730EA0" w:rsidRPr="00054EDA">
        <w:rPr>
          <w:rFonts w:ascii="Arial" w:hAnsi="Arial" w:cs="Arial"/>
        </w:rPr>
        <w:t>.</w:t>
      </w:r>
      <w:r w:rsidRPr="00054EDA">
        <w:rPr>
          <w:rFonts w:ascii="Arial" w:hAnsi="Arial" w:cs="Arial"/>
        </w:rPr>
        <w:t>g</w:t>
      </w:r>
      <w:r w:rsidR="00730EA0" w:rsidRPr="00054EDA">
        <w:rPr>
          <w:rFonts w:ascii="Arial" w:hAnsi="Arial" w:cs="Arial"/>
        </w:rPr>
        <w:t>.</w:t>
      </w:r>
      <w:r w:rsidRPr="00054EDA">
        <w:rPr>
          <w:rFonts w:ascii="Arial" w:hAnsi="Arial" w:cs="Arial"/>
        </w:rPr>
        <w:t xml:space="preserve"> checking brakes, lights </w:t>
      </w:r>
      <w:r w:rsidR="00730EA0" w:rsidRPr="00054EDA">
        <w:rPr>
          <w:rFonts w:ascii="Arial" w:hAnsi="Arial" w:cs="Arial"/>
        </w:rPr>
        <w:t>etc.</w:t>
      </w:r>
      <w:r w:rsidR="000D3836">
        <w:rPr>
          <w:rFonts w:ascii="Arial" w:hAnsi="Arial" w:cs="Arial"/>
        </w:rPr>
        <w:t>,</w:t>
      </w:r>
    </w:p>
    <w:p w14:paraId="5D60E1D7" w14:textId="77777777" w:rsidR="00730EA0" w:rsidRPr="00054EDA" w:rsidRDefault="005A058C" w:rsidP="00391D99">
      <w:pPr>
        <w:pStyle w:val="ListParagraph"/>
        <w:numPr>
          <w:ilvl w:val="0"/>
          <w:numId w:val="9"/>
        </w:numPr>
        <w:spacing w:before="240" w:after="240" w:line="360" w:lineRule="auto"/>
        <w:contextualSpacing w:val="0"/>
        <w:rPr>
          <w:rFonts w:ascii="Arial" w:hAnsi="Arial" w:cs="Arial"/>
        </w:rPr>
      </w:pPr>
      <w:r w:rsidRPr="00054EDA">
        <w:rPr>
          <w:rFonts w:ascii="Arial" w:hAnsi="Arial" w:cs="Arial"/>
        </w:rPr>
        <w:t>Fo</w:t>
      </w:r>
      <w:r w:rsidR="00730EA0" w:rsidRPr="00054EDA">
        <w:rPr>
          <w:rFonts w:ascii="Arial" w:hAnsi="Arial" w:cs="Arial"/>
        </w:rPr>
        <w:t>llow the road and speed rules</w:t>
      </w:r>
      <w:r w:rsidR="000D3836">
        <w:rPr>
          <w:rFonts w:ascii="Arial" w:hAnsi="Arial" w:cs="Arial"/>
        </w:rPr>
        <w:t>,</w:t>
      </w:r>
    </w:p>
    <w:p w14:paraId="68C4E1D3" w14:textId="77777777" w:rsidR="00730EA0" w:rsidRPr="00054EDA" w:rsidRDefault="005A058C" w:rsidP="00391D99">
      <w:pPr>
        <w:pStyle w:val="ListParagraph"/>
        <w:numPr>
          <w:ilvl w:val="0"/>
          <w:numId w:val="9"/>
        </w:numPr>
        <w:spacing w:before="240" w:after="240" w:line="360" w:lineRule="auto"/>
        <w:contextualSpacing w:val="0"/>
        <w:rPr>
          <w:rFonts w:ascii="Arial" w:hAnsi="Arial" w:cs="Arial"/>
        </w:rPr>
      </w:pPr>
      <w:r w:rsidRPr="00054EDA">
        <w:rPr>
          <w:rFonts w:ascii="Arial" w:hAnsi="Arial" w:cs="Arial"/>
        </w:rPr>
        <w:t xml:space="preserve">Use a </w:t>
      </w:r>
      <w:r w:rsidR="00730EA0" w:rsidRPr="00054EDA">
        <w:rPr>
          <w:rFonts w:ascii="Arial" w:hAnsi="Arial" w:cs="Arial"/>
        </w:rPr>
        <w:t>speed limiter (if applicable)</w:t>
      </w:r>
      <w:r w:rsidR="000D3836">
        <w:rPr>
          <w:rFonts w:ascii="Arial" w:hAnsi="Arial" w:cs="Arial"/>
        </w:rPr>
        <w:t>,</w:t>
      </w:r>
      <w:r w:rsidR="00730EA0" w:rsidRPr="00054EDA">
        <w:rPr>
          <w:rFonts w:ascii="Arial" w:hAnsi="Arial" w:cs="Arial"/>
        </w:rPr>
        <w:t xml:space="preserve"> </w:t>
      </w:r>
    </w:p>
    <w:p w14:paraId="64184AFE" w14:textId="77777777" w:rsidR="005B3555" w:rsidRPr="00054EDA" w:rsidRDefault="005A058C" w:rsidP="00391D99">
      <w:pPr>
        <w:pStyle w:val="ListParagraph"/>
        <w:numPr>
          <w:ilvl w:val="0"/>
          <w:numId w:val="9"/>
        </w:numPr>
        <w:spacing w:before="240" w:after="240" w:line="360" w:lineRule="auto"/>
        <w:contextualSpacing w:val="0"/>
        <w:rPr>
          <w:rFonts w:ascii="Arial" w:hAnsi="Arial" w:cs="Arial"/>
        </w:rPr>
      </w:pPr>
      <w:r w:rsidRPr="00054EDA">
        <w:rPr>
          <w:rFonts w:ascii="Arial" w:hAnsi="Arial" w:cs="Arial"/>
        </w:rPr>
        <w:t>Not tamper with a speed limiter</w:t>
      </w:r>
      <w:r w:rsidR="000D3836">
        <w:rPr>
          <w:rFonts w:ascii="Arial" w:hAnsi="Arial" w:cs="Arial"/>
        </w:rPr>
        <w:t>.</w:t>
      </w:r>
      <w:r w:rsidRPr="00054EDA">
        <w:rPr>
          <w:rFonts w:ascii="Arial" w:hAnsi="Arial" w:cs="Arial"/>
        </w:rPr>
        <w:t xml:space="preserve"> </w:t>
      </w:r>
    </w:p>
    <w:p w14:paraId="1301EF55" w14:textId="77777777" w:rsidR="005B3555" w:rsidRPr="00054EDA" w:rsidRDefault="005A058C" w:rsidP="00054EDA">
      <w:pPr>
        <w:spacing w:before="240" w:after="240" w:line="360" w:lineRule="auto"/>
        <w:rPr>
          <w:rFonts w:ascii="Arial" w:hAnsi="Arial" w:cs="Arial"/>
          <w:b/>
        </w:rPr>
      </w:pPr>
      <w:r w:rsidRPr="00054EDA">
        <w:rPr>
          <w:rFonts w:ascii="Arial" w:hAnsi="Arial" w:cs="Arial"/>
          <w:b/>
        </w:rPr>
        <w:t>Schedulers (</w:t>
      </w:r>
      <w:r w:rsidR="00211EF2">
        <w:rPr>
          <w:rFonts w:ascii="Arial" w:hAnsi="Arial" w:cs="Arial"/>
          <w:b/>
        </w:rPr>
        <w:t>a</w:t>
      </w:r>
      <w:r w:rsidRPr="00054EDA">
        <w:rPr>
          <w:rFonts w:ascii="Arial" w:hAnsi="Arial" w:cs="Arial"/>
          <w:b/>
        </w:rPr>
        <w:t xml:space="preserve">llocators) </w:t>
      </w:r>
      <w:r w:rsidR="00211EF2">
        <w:rPr>
          <w:rFonts w:ascii="Arial" w:hAnsi="Arial" w:cs="Arial"/>
          <w:b/>
        </w:rPr>
        <w:t>r</w:t>
      </w:r>
      <w:r w:rsidRPr="00054EDA">
        <w:rPr>
          <w:rFonts w:ascii="Arial" w:hAnsi="Arial" w:cs="Arial"/>
          <w:b/>
        </w:rPr>
        <w:t xml:space="preserve">esponsibility: </w:t>
      </w:r>
    </w:p>
    <w:p w14:paraId="4C47496C" w14:textId="77777777" w:rsidR="00F65E2C" w:rsidRPr="00054EDA" w:rsidRDefault="005A058C" w:rsidP="00054EDA">
      <w:pPr>
        <w:spacing w:before="240" w:after="240" w:line="360" w:lineRule="auto"/>
        <w:rPr>
          <w:rFonts w:ascii="Arial" w:hAnsi="Arial" w:cs="Arial"/>
        </w:rPr>
      </w:pPr>
      <w:r w:rsidRPr="00054EDA">
        <w:rPr>
          <w:rFonts w:ascii="Arial" w:hAnsi="Arial" w:cs="Arial"/>
        </w:rPr>
        <w:t xml:space="preserve">The HVNL currently imposes specific obligations on allocators/schedulers relating to speed and fatigue. The law recognises the allocators’ influence over the setting or developing of schedules for driver’s work and rest times and the transport of passengers and goods. The HVNL defines a scheduler as ‘a person who schedules the transport of any goods or passengers by the vehicle; or who schedules the work times and rest times of the vehicle’s driver’. </w:t>
      </w:r>
    </w:p>
    <w:p w14:paraId="65D8A141" w14:textId="77777777" w:rsidR="00F65E2C" w:rsidRPr="00054EDA" w:rsidRDefault="005A058C" w:rsidP="00054EDA">
      <w:pPr>
        <w:spacing w:before="240" w:after="240" w:line="360" w:lineRule="auto"/>
        <w:rPr>
          <w:rFonts w:ascii="Arial" w:hAnsi="Arial" w:cs="Arial"/>
        </w:rPr>
      </w:pPr>
      <w:r w:rsidRPr="00054EDA">
        <w:rPr>
          <w:rFonts w:ascii="Arial" w:hAnsi="Arial" w:cs="Arial"/>
        </w:rPr>
        <w:t xml:space="preserve">Everyone in the </w:t>
      </w:r>
      <w:r w:rsidR="00223847" w:rsidRPr="00054EDA">
        <w:rPr>
          <w:rFonts w:ascii="Arial" w:hAnsi="Arial" w:cs="Arial"/>
        </w:rPr>
        <w:t xml:space="preserve">supply chain </w:t>
      </w:r>
      <w:r w:rsidRPr="00054EDA">
        <w:rPr>
          <w:rFonts w:ascii="Arial" w:hAnsi="Arial" w:cs="Arial"/>
        </w:rPr>
        <w:t>must ensure that the driver’s schedule will not cause the driver to exceed speed limits or drive while fatigued. In addition to their direct obligations, schedulers are also deemed liable under section 261 of the HVNL if a driver contravenes a maximum work requirement or minimum rest</w:t>
      </w:r>
      <w:r w:rsidR="005B3555" w:rsidRPr="00054EDA">
        <w:rPr>
          <w:rFonts w:ascii="Arial" w:hAnsi="Arial" w:cs="Arial"/>
        </w:rPr>
        <w:t xml:space="preserve"> requirement. </w:t>
      </w:r>
    </w:p>
    <w:p w14:paraId="42AF1F78" w14:textId="77777777" w:rsidR="007F2C88" w:rsidRPr="00054EDA" w:rsidRDefault="005B3555" w:rsidP="00054EDA">
      <w:pPr>
        <w:spacing w:before="240" w:after="240" w:line="360" w:lineRule="auto"/>
        <w:rPr>
          <w:rFonts w:ascii="Arial" w:hAnsi="Arial" w:cs="Arial"/>
        </w:rPr>
      </w:pPr>
      <w:r w:rsidRPr="00054EDA">
        <w:rPr>
          <w:rFonts w:ascii="Arial" w:hAnsi="Arial" w:cs="Arial"/>
        </w:rPr>
        <w:t>To comply with their speed and fatigue obligations, schedulers must ensure that timeframes for drivers are realistic, and will not contribute to or cause on-r</w:t>
      </w:r>
      <w:r w:rsidR="007F2C88" w:rsidRPr="00054EDA">
        <w:rPr>
          <w:rFonts w:ascii="Arial" w:hAnsi="Arial" w:cs="Arial"/>
        </w:rPr>
        <w:t xml:space="preserve">oad breaches, for example by: </w:t>
      </w:r>
    </w:p>
    <w:p w14:paraId="535704CD" w14:textId="77777777" w:rsidR="007F2C88" w:rsidRPr="00054EDA" w:rsidRDefault="00DA1F5E" w:rsidP="00945888">
      <w:pPr>
        <w:pStyle w:val="ListParagraph"/>
        <w:numPr>
          <w:ilvl w:val="0"/>
          <w:numId w:val="10"/>
        </w:numPr>
        <w:spacing w:before="240" w:after="240" w:line="360" w:lineRule="auto"/>
        <w:contextualSpacing w:val="0"/>
        <w:rPr>
          <w:rFonts w:ascii="Arial" w:hAnsi="Arial" w:cs="Arial"/>
        </w:rPr>
      </w:pPr>
      <w:r w:rsidRPr="00054EDA">
        <w:rPr>
          <w:rFonts w:ascii="Arial" w:hAnsi="Arial" w:cs="Arial"/>
        </w:rPr>
        <w:lastRenderedPageBreak/>
        <w:t xml:space="preserve">Allowing for required rest breaks and providing flexibility </w:t>
      </w:r>
      <w:proofErr w:type="gramStart"/>
      <w:r w:rsidRPr="00054EDA">
        <w:rPr>
          <w:rFonts w:ascii="Arial" w:hAnsi="Arial" w:cs="Arial"/>
        </w:rPr>
        <w:t>so as to</w:t>
      </w:r>
      <w:proofErr w:type="gramEnd"/>
      <w:r w:rsidRPr="00054EDA">
        <w:rPr>
          <w:rFonts w:ascii="Arial" w:hAnsi="Arial" w:cs="Arial"/>
        </w:rPr>
        <w:t xml:space="preserve"> make allowance for traffic con</w:t>
      </w:r>
      <w:r w:rsidR="007F2C88" w:rsidRPr="00054EDA">
        <w:rPr>
          <w:rFonts w:ascii="Arial" w:hAnsi="Arial" w:cs="Arial"/>
        </w:rPr>
        <w:t>ditions and unexpected delays</w:t>
      </w:r>
      <w:r w:rsidR="00945888">
        <w:rPr>
          <w:rFonts w:ascii="Arial" w:hAnsi="Arial" w:cs="Arial"/>
        </w:rPr>
        <w:t>,</w:t>
      </w:r>
    </w:p>
    <w:p w14:paraId="4C600DE1" w14:textId="77777777" w:rsidR="007F2C88" w:rsidRPr="00054EDA" w:rsidRDefault="00DA1F5E" w:rsidP="00945888">
      <w:pPr>
        <w:pStyle w:val="ListParagraph"/>
        <w:numPr>
          <w:ilvl w:val="0"/>
          <w:numId w:val="10"/>
        </w:numPr>
        <w:spacing w:before="240" w:after="240" w:line="360" w:lineRule="auto"/>
        <w:contextualSpacing w:val="0"/>
        <w:rPr>
          <w:rFonts w:ascii="Arial" w:hAnsi="Arial" w:cs="Arial"/>
        </w:rPr>
      </w:pPr>
      <w:r w:rsidRPr="00054EDA">
        <w:rPr>
          <w:rFonts w:ascii="Arial" w:hAnsi="Arial" w:cs="Arial"/>
        </w:rPr>
        <w:t>Ensuring schedules are s</w:t>
      </w:r>
      <w:r w:rsidR="005B3555" w:rsidRPr="00054EDA">
        <w:rPr>
          <w:rFonts w:ascii="Arial" w:hAnsi="Arial" w:cs="Arial"/>
        </w:rPr>
        <w:t>afe and achievable for drivers and do not put pressure on them to breach speed</w:t>
      </w:r>
      <w:r w:rsidR="007F2C88" w:rsidRPr="00054EDA">
        <w:rPr>
          <w:rFonts w:ascii="Arial" w:hAnsi="Arial" w:cs="Arial"/>
        </w:rPr>
        <w:t xml:space="preserve"> or fatigue requirements</w:t>
      </w:r>
      <w:r w:rsidR="00945888">
        <w:rPr>
          <w:rFonts w:ascii="Arial" w:hAnsi="Arial" w:cs="Arial"/>
        </w:rPr>
        <w:t>,</w:t>
      </w:r>
      <w:r w:rsidR="007F2C88" w:rsidRPr="00054EDA">
        <w:rPr>
          <w:rFonts w:ascii="Arial" w:hAnsi="Arial" w:cs="Arial"/>
        </w:rPr>
        <w:t xml:space="preserve"> and </w:t>
      </w:r>
    </w:p>
    <w:p w14:paraId="1C014FAD" w14:textId="77777777" w:rsidR="007F2C88" w:rsidRPr="00054EDA" w:rsidRDefault="00DA1F5E" w:rsidP="00945888">
      <w:pPr>
        <w:pStyle w:val="ListParagraph"/>
        <w:numPr>
          <w:ilvl w:val="0"/>
          <w:numId w:val="10"/>
        </w:numPr>
        <w:spacing w:before="240" w:after="240" w:line="360" w:lineRule="auto"/>
        <w:contextualSpacing w:val="0"/>
        <w:rPr>
          <w:rFonts w:ascii="Arial" w:hAnsi="Arial" w:cs="Arial"/>
        </w:rPr>
      </w:pPr>
      <w:r w:rsidRPr="00054EDA">
        <w:rPr>
          <w:rFonts w:ascii="Arial" w:hAnsi="Arial" w:cs="Arial"/>
        </w:rPr>
        <w:t xml:space="preserve">Consulting </w:t>
      </w:r>
      <w:r w:rsidR="005B3555" w:rsidRPr="00054EDA">
        <w:rPr>
          <w:rFonts w:ascii="Arial" w:hAnsi="Arial" w:cs="Arial"/>
        </w:rPr>
        <w:t>with drivers when developing schedules and ensuring that any s</w:t>
      </w:r>
      <w:r w:rsidR="007F2C88" w:rsidRPr="00054EDA">
        <w:rPr>
          <w:rFonts w:ascii="Arial" w:hAnsi="Arial" w:cs="Arial"/>
        </w:rPr>
        <w:t>cheduling problems are reported.</w:t>
      </w:r>
    </w:p>
    <w:p w14:paraId="795A58A4" w14:textId="77777777" w:rsidR="007F2C88" w:rsidRPr="00054EDA" w:rsidRDefault="005B3555" w:rsidP="00054EDA">
      <w:pPr>
        <w:spacing w:before="240" w:after="240" w:line="360" w:lineRule="auto"/>
        <w:rPr>
          <w:rFonts w:ascii="Arial" w:hAnsi="Arial" w:cs="Arial"/>
        </w:rPr>
      </w:pPr>
      <w:r w:rsidRPr="00054EDA">
        <w:rPr>
          <w:rFonts w:ascii="Arial" w:hAnsi="Arial" w:cs="Arial"/>
        </w:rPr>
        <w:t xml:space="preserve">The scheduler must ensure that the driver’s schedule does not result in safety breaches relating to either speed or fatigue. </w:t>
      </w:r>
    </w:p>
    <w:p w14:paraId="1A077FA5" w14:textId="77777777" w:rsidR="007F2C88" w:rsidRPr="00054EDA" w:rsidRDefault="000018A4" w:rsidP="00054EDA">
      <w:pPr>
        <w:spacing w:before="240" w:after="240" w:line="360" w:lineRule="auto"/>
        <w:rPr>
          <w:rFonts w:ascii="Arial" w:hAnsi="Arial" w:cs="Arial"/>
          <w:b/>
        </w:rPr>
      </w:pPr>
      <w:r w:rsidRPr="00054EDA">
        <w:rPr>
          <w:rFonts w:ascii="Arial" w:hAnsi="Arial" w:cs="Arial"/>
          <w:b/>
        </w:rPr>
        <w:t xml:space="preserve">Consignors and </w:t>
      </w:r>
      <w:r w:rsidR="008A3D45">
        <w:rPr>
          <w:rFonts w:ascii="Arial" w:hAnsi="Arial" w:cs="Arial"/>
          <w:b/>
        </w:rPr>
        <w:t>c</w:t>
      </w:r>
      <w:r w:rsidR="005B3555" w:rsidRPr="00054EDA">
        <w:rPr>
          <w:rFonts w:ascii="Arial" w:hAnsi="Arial" w:cs="Arial"/>
          <w:b/>
        </w:rPr>
        <w:t>onsignees</w:t>
      </w:r>
      <w:r w:rsidR="008A3D45">
        <w:rPr>
          <w:rFonts w:ascii="Arial" w:hAnsi="Arial" w:cs="Arial"/>
          <w:b/>
        </w:rPr>
        <w:t>:</w:t>
      </w:r>
      <w:r w:rsidR="005B3555" w:rsidRPr="00054EDA">
        <w:rPr>
          <w:rFonts w:ascii="Arial" w:hAnsi="Arial" w:cs="Arial"/>
          <w:b/>
        </w:rPr>
        <w:t xml:space="preserve"> </w:t>
      </w:r>
    </w:p>
    <w:p w14:paraId="2CB89E5B" w14:textId="77777777" w:rsidR="007F2C88" w:rsidRPr="00054EDA" w:rsidRDefault="005B3555" w:rsidP="00054EDA">
      <w:pPr>
        <w:spacing w:before="240" w:after="240" w:line="360" w:lineRule="auto"/>
        <w:rPr>
          <w:rFonts w:ascii="Arial" w:hAnsi="Arial" w:cs="Arial"/>
        </w:rPr>
      </w:pPr>
      <w:r w:rsidRPr="00054EDA">
        <w:rPr>
          <w:rFonts w:ascii="Arial" w:hAnsi="Arial" w:cs="Arial"/>
        </w:rPr>
        <w:t xml:space="preserve">Under the HVNL, a consignor is a ‘person who engages an operator of the vehicle to transport the goods by road’. The primary obligations for consignors require them to ensure that the terms of consignment will not cause the driver to speed or breach fatigue requirements. In addition, they must ensure that information provided in transport documentation or on the container or safety approval plate relating to the mass, dimension or load of the goods is incorrect and not false or misleading. </w:t>
      </w:r>
    </w:p>
    <w:p w14:paraId="419FD27D" w14:textId="77777777" w:rsidR="00AD3CFF" w:rsidRPr="00054EDA" w:rsidRDefault="005B3555" w:rsidP="00054EDA">
      <w:pPr>
        <w:spacing w:before="240" w:after="240" w:line="360" w:lineRule="auto"/>
        <w:rPr>
          <w:rFonts w:ascii="Arial" w:hAnsi="Arial" w:cs="Arial"/>
        </w:rPr>
      </w:pPr>
      <w:r w:rsidRPr="00054EDA">
        <w:rPr>
          <w:rFonts w:ascii="Arial" w:hAnsi="Arial" w:cs="Arial"/>
        </w:rPr>
        <w:t xml:space="preserve">Consignors of goods are often end customers who engage third parties to carry goods on their behalf. Consignors therefore possess a level of control that can directly influence both the mass of a heavy vehicle and the timing of the transport task. Consignors therefore have </w:t>
      </w:r>
      <w:proofErr w:type="gramStart"/>
      <w:r w:rsidRPr="00054EDA">
        <w:rPr>
          <w:rFonts w:ascii="Arial" w:hAnsi="Arial" w:cs="Arial"/>
        </w:rPr>
        <w:t>a number of</w:t>
      </w:r>
      <w:proofErr w:type="gramEnd"/>
      <w:r w:rsidRPr="00054EDA">
        <w:rPr>
          <w:rFonts w:ascii="Arial" w:hAnsi="Arial" w:cs="Arial"/>
        </w:rPr>
        <w:t xml:space="preserve"> obligations relating to fatigue, speed, and mass dimension and loading</w:t>
      </w:r>
      <w:r w:rsidR="005B79A7">
        <w:rPr>
          <w:rFonts w:ascii="Arial" w:hAnsi="Arial" w:cs="Arial"/>
        </w:rPr>
        <w:t>,</w:t>
      </w:r>
      <w:r w:rsidRPr="00054EDA">
        <w:rPr>
          <w:rFonts w:ascii="Arial" w:hAnsi="Arial" w:cs="Arial"/>
        </w:rPr>
        <w:t xml:space="preserve"> and influence the setting of slot times for the delivery of goods.</w:t>
      </w:r>
    </w:p>
    <w:p w14:paraId="2B5ADF8D" w14:textId="77777777" w:rsidR="00F65E2C" w:rsidRPr="00054EDA" w:rsidRDefault="005B3555" w:rsidP="00054EDA">
      <w:pPr>
        <w:spacing w:before="240" w:after="240" w:line="360" w:lineRule="auto"/>
        <w:rPr>
          <w:rFonts w:ascii="Arial" w:hAnsi="Arial" w:cs="Arial"/>
        </w:rPr>
      </w:pPr>
      <w:r w:rsidRPr="00054EDA">
        <w:rPr>
          <w:rFonts w:ascii="Arial" w:hAnsi="Arial" w:cs="Arial"/>
        </w:rPr>
        <w:t xml:space="preserve">The HVNL defines a consignee as ‘a person who receives the goods after completion of their road transport’. The principal obligations for consignees require them to ensure that the terms of consignment will not cause the driver to speed or breach fatigue requirements. In addition, the consignee must ensure that they do not induce or reward a contravention of a mass, dimension or load requirement. </w:t>
      </w:r>
    </w:p>
    <w:p w14:paraId="583EEB67" w14:textId="77777777" w:rsidR="00AD3CFF" w:rsidRPr="00054EDA" w:rsidRDefault="005B3555" w:rsidP="00054EDA">
      <w:pPr>
        <w:spacing w:before="240" w:after="240" w:line="360" w:lineRule="auto"/>
        <w:rPr>
          <w:rFonts w:ascii="Arial" w:hAnsi="Arial" w:cs="Arial"/>
        </w:rPr>
      </w:pPr>
      <w:r w:rsidRPr="00054EDA">
        <w:rPr>
          <w:rFonts w:ascii="Arial" w:hAnsi="Arial" w:cs="Arial"/>
        </w:rPr>
        <w:t>To comply with their obligations, consignors and consignees must ensure that the terms of consignment will not result in breache</w:t>
      </w:r>
      <w:r w:rsidR="00AD3CFF" w:rsidRPr="00054EDA">
        <w:rPr>
          <w:rFonts w:ascii="Arial" w:hAnsi="Arial" w:cs="Arial"/>
        </w:rPr>
        <w:t xml:space="preserve">s of the law, for example by: </w:t>
      </w:r>
    </w:p>
    <w:p w14:paraId="00D9BDB1" w14:textId="77777777" w:rsidR="00F65E2C" w:rsidRPr="00054EDA" w:rsidRDefault="000018A4" w:rsidP="005B79A7">
      <w:pPr>
        <w:pStyle w:val="ListParagraph"/>
        <w:numPr>
          <w:ilvl w:val="0"/>
          <w:numId w:val="11"/>
        </w:numPr>
        <w:spacing w:before="240" w:after="240" w:line="360" w:lineRule="auto"/>
        <w:contextualSpacing w:val="0"/>
        <w:rPr>
          <w:rFonts w:ascii="Arial" w:hAnsi="Arial" w:cs="Arial"/>
        </w:rPr>
      </w:pPr>
      <w:r w:rsidRPr="00054EDA">
        <w:rPr>
          <w:rFonts w:ascii="Arial" w:hAnsi="Arial" w:cs="Arial"/>
        </w:rPr>
        <w:t xml:space="preserve">Ensuring contractual arrangements and documentation for the consignment and </w:t>
      </w:r>
      <w:r w:rsidR="005B3555" w:rsidRPr="00054EDA">
        <w:rPr>
          <w:rFonts w:ascii="Arial" w:hAnsi="Arial" w:cs="Arial"/>
        </w:rPr>
        <w:t>delivery of goods ena</w:t>
      </w:r>
      <w:r w:rsidR="00AD3CFF" w:rsidRPr="00054EDA">
        <w:rPr>
          <w:rFonts w:ascii="Arial" w:hAnsi="Arial" w:cs="Arial"/>
        </w:rPr>
        <w:t>ble compliance with the HVNL</w:t>
      </w:r>
      <w:r w:rsidR="005B79A7">
        <w:rPr>
          <w:rFonts w:ascii="Arial" w:hAnsi="Arial" w:cs="Arial"/>
        </w:rPr>
        <w:t>,</w:t>
      </w:r>
    </w:p>
    <w:p w14:paraId="3C4ED8A9" w14:textId="77777777" w:rsidR="00AD3CFF" w:rsidRPr="00054EDA" w:rsidRDefault="000018A4" w:rsidP="005B79A7">
      <w:pPr>
        <w:pStyle w:val="ListParagraph"/>
        <w:numPr>
          <w:ilvl w:val="0"/>
          <w:numId w:val="11"/>
        </w:numPr>
        <w:spacing w:before="240" w:after="240" w:line="360" w:lineRule="auto"/>
        <w:contextualSpacing w:val="0"/>
        <w:rPr>
          <w:rFonts w:ascii="Arial" w:hAnsi="Arial" w:cs="Arial"/>
        </w:rPr>
      </w:pPr>
      <w:r w:rsidRPr="00054EDA">
        <w:rPr>
          <w:rFonts w:ascii="Arial" w:hAnsi="Arial" w:cs="Arial"/>
        </w:rPr>
        <w:lastRenderedPageBreak/>
        <w:t>Contingency planning concerning con</w:t>
      </w:r>
      <w:r w:rsidR="00AD3CFF" w:rsidRPr="00054EDA">
        <w:rPr>
          <w:rFonts w:ascii="Arial" w:hAnsi="Arial" w:cs="Arial"/>
        </w:rPr>
        <w:t>signments and delivery times</w:t>
      </w:r>
      <w:r w:rsidR="005B79A7">
        <w:rPr>
          <w:rFonts w:ascii="Arial" w:hAnsi="Arial" w:cs="Arial"/>
        </w:rPr>
        <w:t>,</w:t>
      </w:r>
    </w:p>
    <w:p w14:paraId="37DAAF6D" w14:textId="77777777" w:rsidR="00AD3CFF" w:rsidRPr="00054EDA" w:rsidRDefault="000018A4" w:rsidP="005B79A7">
      <w:pPr>
        <w:pStyle w:val="ListParagraph"/>
        <w:numPr>
          <w:ilvl w:val="0"/>
          <w:numId w:val="11"/>
        </w:numPr>
        <w:spacing w:before="240" w:after="240" w:line="360" w:lineRule="auto"/>
        <w:contextualSpacing w:val="0"/>
        <w:rPr>
          <w:rFonts w:ascii="Arial" w:hAnsi="Arial" w:cs="Arial"/>
        </w:rPr>
      </w:pPr>
      <w:r w:rsidRPr="00054EDA">
        <w:rPr>
          <w:rFonts w:ascii="Arial" w:hAnsi="Arial" w:cs="Arial"/>
        </w:rPr>
        <w:t>Request</w:t>
      </w:r>
      <w:r w:rsidR="005B3555" w:rsidRPr="00054EDA">
        <w:rPr>
          <w:rFonts w:ascii="Arial" w:hAnsi="Arial" w:cs="Arial"/>
        </w:rPr>
        <w:t>ing information about what systems and controls are in pl</w:t>
      </w:r>
      <w:r w:rsidR="00AD3CFF" w:rsidRPr="00054EDA">
        <w:rPr>
          <w:rFonts w:ascii="Arial" w:hAnsi="Arial" w:cs="Arial"/>
        </w:rPr>
        <w:t>ace to ensure compliance</w:t>
      </w:r>
      <w:r w:rsidR="005B79A7">
        <w:rPr>
          <w:rFonts w:ascii="Arial" w:hAnsi="Arial" w:cs="Arial"/>
        </w:rPr>
        <w:t>,</w:t>
      </w:r>
      <w:r w:rsidR="00AD3CFF" w:rsidRPr="00054EDA">
        <w:rPr>
          <w:rFonts w:ascii="Arial" w:hAnsi="Arial" w:cs="Arial"/>
        </w:rPr>
        <w:t xml:space="preserve"> and </w:t>
      </w:r>
    </w:p>
    <w:p w14:paraId="5B88BA58" w14:textId="77777777" w:rsidR="00AD3CFF" w:rsidRPr="00054EDA" w:rsidRDefault="000018A4" w:rsidP="005B79A7">
      <w:pPr>
        <w:pStyle w:val="ListParagraph"/>
        <w:numPr>
          <w:ilvl w:val="0"/>
          <w:numId w:val="11"/>
        </w:numPr>
        <w:spacing w:before="240" w:after="240" w:line="360" w:lineRule="auto"/>
        <w:contextualSpacing w:val="0"/>
        <w:rPr>
          <w:rFonts w:ascii="Arial" w:hAnsi="Arial" w:cs="Arial"/>
        </w:rPr>
      </w:pPr>
      <w:r w:rsidRPr="00054EDA">
        <w:rPr>
          <w:rFonts w:ascii="Arial" w:hAnsi="Arial" w:cs="Arial"/>
        </w:rPr>
        <w:t>Ensuring there are no arrangements which encourage or reward non-compliance</w:t>
      </w:r>
      <w:r w:rsidR="005B79A7">
        <w:rPr>
          <w:rFonts w:ascii="Arial" w:hAnsi="Arial" w:cs="Arial"/>
        </w:rPr>
        <w:t>.</w:t>
      </w:r>
    </w:p>
    <w:p w14:paraId="2761A254" w14:textId="77777777" w:rsidR="00AD3CFF" w:rsidRPr="00054EDA" w:rsidRDefault="005B3555" w:rsidP="00054EDA">
      <w:pPr>
        <w:spacing w:before="240" w:after="240" w:line="360" w:lineRule="auto"/>
        <w:rPr>
          <w:rFonts w:ascii="Arial" w:hAnsi="Arial" w:cs="Arial"/>
          <w:b/>
        </w:rPr>
      </w:pPr>
      <w:r w:rsidRPr="00054EDA">
        <w:rPr>
          <w:rFonts w:ascii="Arial" w:hAnsi="Arial" w:cs="Arial"/>
          <w:b/>
        </w:rPr>
        <w:t xml:space="preserve">Loading </w:t>
      </w:r>
      <w:r w:rsidR="00D46A66">
        <w:rPr>
          <w:rFonts w:ascii="Arial" w:hAnsi="Arial" w:cs="Arial"/>
          <w:b/>
        </w:rPr>
        <w:t>m</w:t>
      </w:r>
      <w:r w:rsidR="000018A4" w:rsidRPr="00054EDA">
        <w:rPr>
          <w:rFonts w:ascii="Arial" w:hAnsi="Arial" w:cs="Arial"/>
          <w:b/>
        </w:rPr>
        <w:t>anagers</w:t>
      </w:r>
      <w:r w:rsidR="00D46A66">
        <w:rPr>
          <w:rFonts w:ascii="Arial" w:hAnsi="Arial" w:cs="Arial"/>
          <w:b/>
        </w:rPr>
        <w:t>:</w:t>
      </w:r>
      <w:r w:rsidR="000018A4" w:rsidRPr="00054EDA">
        <w:rPr>
          <w:rFonts w:ascii="Arial" w:hAnsi="Arial" w:cs="Arial"/>
          <w:b/>
        </w:rPr>
        <w:t xml:space="preserve"> </w:t>
      </w:r>
    </w:p>
    <w:p w14:paraId="679D3A9E" w14:textId="77777777" w:rsidR="00F65E2C" w:rsidRPr="00054EDA" w:rsidRDefault="005B3555" w:rsidP="00054EDA">
      <w:pPr>
        <w:spacing w:before="240" w:after="240" w:line="360" w:lineRule="auto"/>
        <w:rPr>
          <w:rFonts w:ascii="Arial" w:hAnsi="Arial" w:cs="Arial"/>
        </w:rPr>
      </w:pPr>
      <w:r w:rsidRPr="00054EDA">
        <w:rPr>
          <w:rFonts w:ascii="Arial" w:hAnsi="Arial" w:cs="Arial"/>
        </w:rPr>
        <w:t xml:space="preserve">Loading managers control, supervise and manage the sites where goods are loaded or unloaded and as such are directly involved in on-road operations of heavy vehicles that transport goods. The HVNL defines a loading manager as the ‘person who is responsible for supervising, managing or controlling, directly or indirectly, activities carried out by a loader or unloader of goods at the </w:t>
      </w:r>
      <w:proofErr w:type="gramStart"/>
      <w:r w:rsidRPr="00054EDA">
        <w:rPr>
          <w:rFonts w:ascii="Arial" w:hAnsi="Arial" w:cs="Arial"/>
        </w:rPr>
        <w:t>premises’</w:t>
      </w:r>
      <w:proofErr w:type="gramEnd"/>
      <w:r w:rsidRPr="00054EDA">
        <w:rPr>
          <w:rFonts w:ascii="Arial" w:hAnsi="Arial" w:cs="Arial"/>
        </w:rPr>
        <w:t>. Their primary obligations are to ensure that the loading arrangements will not cause the driver to breach speed or fatigue requirements. In addition, the loading manager is deemed liable under section 183 if a person drives a heavy vehicle that does not comply with mass, dimension or loading requirements</w:t>
      </w:r>
      <w:r w:rsidR="00133A04">
        <w:rPr>
          <w:rFonts w:ascii="Arial" w:hAnsi="Arial" w:cs="Arial"/>
        </w:rPr>
        <w:t>,</w:t>
      </w:r>
      <w:r w:rsidRPr="00054EDA">
        <w:rPr>
          <w:rFonts w:ascii="Arial" w:hAnsi="Arial" w:cs="Arial"/>
        </w:rPr>
        <w:t xml:space="preserve"> and under section 261 if a driver contravenes a maximum work or minimum rest requirement. </w:t>
      </w:r>
    </w:p>
    <w:p w14:paraId="15DEB1E4" w14:textId="77777777" w:rsidR="003F2FA0" w:rsidRPr="00054EDA" w:rsidRDefault="005B3555" w:rsidP="00054EDA">
      <w:pPr>
        <w:spacing w:before="240" w:after="240" w:line="360" w:lineRule="auto"/>
        <w:rPr>
          <w:rFonts w:ascii="Arial" w:hAnsi="Arial" w:cs="Arial"/>
        </w:rPr>
      </w:pPr>
      <w:r w:rsidRPr="00054EDA">
        <w:rPr>
          <w:rFonts w:ascii="Arial" w:hAnsi="Arial" w:cs="Arial"/>
        </w:rPr>
        <w:t>Examples of how loading managers can comply with</w:t>
      </w:r>
      <w:r w:rsidR="003F2FA0" w:rsidRPr="00054EDA">
        <w:rPr>
          <w:rFonts w:ascii="Arial" w:hAnsi="Arial" w:cs="Arial"/>
        </w:rPr>
        <w:t xml:space="preserve"> their obligations include: </w:t>
      </w:r>
    </w:p>
    <w:p w14:paraId="1B5B4049" w14:textId="77777777" w:rsidR="003F2FA0" w:rsidRPr="00054EDA" w:rsidRDefault="000018A4" w:rsidP="00F84554">
      <w:pPr>
        <w:pStyle w:val="ListParagraph"/>
        <w:numPr>
          <w:ilvl w:val="0"/>
          <w:numId w:val="12"/>
        </w:numPr>
        <w:spacing w:before="240" w:after="240" w:line="360" w:lineRule="auto"/>
        <w:contextualSpacing w:val="0"/>
        <w:rPr>
          <w:rFonts w:ascii="Arial" w:hAnsi="Arial" w:cs="Arial"/>
        </w:rPr>
      </w:pPr>
      <w:r w:rsidRPr="00054EDA">
        <w:rPr>
          <w:rFonts w:ascii="Arial" w:hAnsi="Arial" w:cs="Arial"/>
        </w:rPr>
        <w:t>Working with other off-road parties to make reasonable arrangements to manage loa</w:t>
      </w:r>
      <w:r w:rsidR="003F2FA0" w:rsidRPr="00054EDA">
        <w:rPr>
          <w:rFonts w:ascii="Arial" w:hAnsi="Arial" w:cs="Arial"/>
        </w:rPr>
        <w:t>ding and unloading timeslots</w:t>
      </w:r>
      <w:r w:rsidR="00F84554">
        <w:rPr>
          <w:rFonts w:ascii="Arial" w:hAnsi="Arial" w:cs="Arial"/>
        </w:rPr>
        <w:t>,</w:t>
      </w:r>
    </w:p>
    <w:p w14:paraId="16BDFCCD" w14:textId="77777777" w:rsidR="003F2FA0" w:rsidRPr="00054EDA" w:rsidRDefault="000018A4" w:rsidP="00F84554">
      <w:pPr>
        <w:pStyle w:val="ListParagraph"/>
        <w:numPr>
          <w:ilvl w:val="0"/>
          <w:numId w:val="12"/>
        </w:numPr>
        <w:spacing w:before="240" w:after="240" w:line="360" w:lineRule="auto"/>
        <w:contextualSpacing w:val="0"/>
        <w:rPr>
          <w:rFonts w:ascii="Arial" w:hAnsi="Arial" w:cs="Arial"/>
        </w:rPr>
      </w:pPr>
      <w:r w:rsidRPr="00054EDA">
        <w:rPr>
          <w:rFonts w:ascii="Arial" w:hAnsi="Arial" w:cs="Arial"/>
        </w:rPr>
        <w:t>Ensuring that vehicles are loaded/unloaded as quickly and</w:t>
      </w:r>
      <w:r w:rsidR="003F2FA0" w:rsidRPr="00054EDA">
        <w:rPr>
          <w:rFonts w:ascii="Arial" w:hAnsi="Arial" w:cs="Arial"/>
        </w:rPr>
        <w:t xml:space="preserve"> efficiently as possible</w:t>
      </w:r>
      <w:r w:rsidR="00F84554">
        <w:rPr>
          <w:rFonts w:ascii="Arial" w:hAnsi="Arial" w:cs="Arial"/>
        </w:rPr>
        <w:t>,</w:t>
      </w:r>
      <w:r w:rsidR="003F2FA0" w:rsidRPr="00054EDA">
        <w:rPr>
          <w:rFonts w:ascii="Arial" w:hAnsi="Arial" w:cs="Arial"/>
        </w:rPr>
        <w:t xml:space="preserve"> and </w:t>
      </w:r>
    </w:p>
    <w:p w14:paraId="1197F481" w14:textId="77777777" w:rsidR="003F2FA0" w:rsidRPr="00054EDA" w:rsidRDefault="000018A4" w:rsidP="00F84554">
      <w:pPr>
        <w:pStyle w:val="ListParagraph"/>
        <w:numPr>
          <w:ilvl w:val="0"/>
          <w:numId w:val="12"/>
        </w:numPr>
        <w:spacing w:before="240" w:after="240" w:line="360" w:lineRule="auto"/>
        <w:contextualSpacing w:val="0"/>
        <w:rPr>
          <w:rFonts w:ascii="Arial" w:hAnsi="Arial" w:cs="Arial"/>
        </w:rPr>
      </w:pPr>
      <w:r w:rsidRPr="00054EDA">
        <w:rPr>
          <w:rFonts w:ascii="Arial" w:hAnsi="Arial" w:cs="Arial"/>
        </w:rPr>
        <w:t xml:space="preserve">Putting </w:t>
      </w:r>
      <w:r w:rsidR="005B3555" w:rsidRPr="00054EDA">
        <w:rPr>
          <w:rFonts w:ascii="Arial" w:hAnsi="Arial" w:cs="Arial"/>
        </w:rPr>
        <w:t>systems in place for unexpected jobs</w:t>
      </w:r>
      <w:r w:rsidR="00F84554">
        <w:rPr>
          <w:rFonts w:ascii="Arial" w:hAnsi="Arial" w:cs="Arial"/>
        </w:rPr>
        <w:t>. F</w:t>
      </w:r>
      <w:r w:rsidR="005B3555" w:rsidRPr="00054EDA">
        <w:rPr>
          <w:rFonts w:ascii="Arial" w:hAnsi="Arial" w:cs="Arial"/>
        </w:rPr>
        <w:t xml:space="preserve">or </w:t>
      </w:r>
      <w:proofErr w:type="gramStart"/>
      <w:r w:rsidR="005B3555" w:rsidRPr="00054EDA">
        <w:rPr>
          <w:rFonts w:ascii="Arial" w:hAnsi="Arial" w:cs="Arial"/>
        </w:rPr>
        <w:t>example</w:t>
      </w:r>
      <w:proofErr w:type="gramEnd"/>
      <w:r w:rsidR="005B3555" w:rsidRPr="00054EDA">
        <w:rPr>
          <w:rFonts w:ascii="Arial" w:hAnsi="Arial" w:cs="Arial"/>
        </w:rPr>
        <w:t xml:space="preserve"> where there have been unexpected road delays.</w:t>
      </w:r>
    </w:p>
    <w:p w14:paraId="0D8BBCE7" w14:textId="77777777" w:rsidR="003F2FA0" w:rsidRPr="00054EDA" w:rsidRDefault="00F65E2C" w:rsidP="00054EDA">
      <w:pPr>
        <w:spacing w:before="240" w:after="240" w:line="360" w:lineRule="auto"/>
        <w:rPr>
          <w:rFonts w:ascii="Arial" w:hAnsi="Arial" w:cs="Arial"/>
          <w:b/>
        </w:rPr>
      </w:pPr>
      <w:r w:rsidRPr="00054EDA">
        <w:rPr>
          <w:rFonts w:ascii="Arial" w:hAnsi="Arial" w:cs="Arial"/>
          <w:b/>
        </w:rPr>
        <w:t xml:space="preserve">Loaders and </w:t>
      </w:r>
      <w:r w:rsidR="00AB3D41">
        <w:rPr>
          <w:rFonts w:ascii="Arial" w:hAnsi="Arial" w:cs="Arial"/>
          <w:b/>
        </w:rPr>
        <w:t>p</w:t>
      </w:r>
      <w:r w:rsidR="005B3555" w:rsidRPr="00054EDA">
        <w:rPr>
          <w:rFonts w:ascii="Arial" w:hAnsi="Arial" w:cs="Arial"/>
          <w:b/>
        </w:rPr>
        <w:t>ackers</w:t>
      </w:r>
      <w:r w:rsidR="00AB3D41">
        <w:rPr>
          <w:rFonts w:ascii="Arial" w:hAnsi="Arial" w:cs="Arial"/>
          <w:b/>
        </w:rPr>
        <w:t>:</w:t>
      </w:r>
      <w:r w:rsidR="005B3555" w:rsidRPr="00054EDA">
        <w:rPr>
          <w:rFonts w:ascii="Arial" w:hAnsi="Arial" w:cs="Arial"/>
          <w:b/>
        </w:rPr>
        <w:t xml:space="preserve"> </w:t>
      </w:r>
    </w:p>
    <w:p w14:paraId="44DA9AB2" w14:textId="77777777" w:rsidR="003626F0" w:rsidRDefault="005B3555" w:rsidP="00054EDA">
      <w:pPr>
        <w:spacing w:before="240" w:after="240" w:line="360" w:lineRule="auto"/>
        <w:rPr>
          <w:rFonts w:ascii="Arial" w:hAnsi="Arial" w:cs="Arial"/>
        </w:rPr>
      </w:pPr>
      <w:r w:rsidRPr="00054EDA">
        <w:rPr>
          <w:rFonts w:ascii="Arial" w:hAnsi="Arial" w:cs="Arial"/>
        </w:rPr>
        <w:t xml:space="preserve">Like loading managers, loaders and packers are directly involved in on-road operations of heavy vehicles that transport goods. The HVNL defines a loader as a ‘person who loads the vehicle or container with the goods for road transport or who loads the vehicle with a freight container’. The HVNL defines a packer as a ‘person who puts the goods in packaging or who assembles the goods as packaged goods in an outer packaging’. The loader and packer are deemed liable under section 183 if a person drives a heavy vehicle that does not comply with mass, dimension or loading requirements. </w:t>
      </w:r>
    </w:p>
    <w:p w14:paraId="116D8206" w14:textId="77777777" w:rsidR="00F65E2C" w:rsidRPr="00054EDA" w:rsidRDefault="005B3555" w:rsidP="00054EDA">
      <w:pPr>
        <w:spacing w:before="240" w:after="240" w:line="360" w:lineRule="auto"/>
        <w:rPr>
          <w:rFonts w:ascii="Arial" w:hAnsi="Arial" w:cs="Arial"/>
        </w:rPr>
      </w:pPr>
      <w:r w:rsidRPr="00054EDA">
        <w:rPr>
          <w:rFonts w:ascii="Arial" w:hAnsi="Arial" w:cs="Arial"/>
        </w:rPr>
        <w:lastRenderedPageBreak/>
        <w:t>In addition, the loader is liable under section 229 for not taking all reasonable steps to ensure a driver does not drive whilst fatigue</w:t>
      </w:r>
      <w:r w:rsidR="00AD1844">
        <w:rPr>
          <w:rFonts w:ascii="Arial" w:hAnsi="Arial" w:cs="Arial"/>
        </w:rPr>
        <w:t>d</w:t>
      </w:r>
      <w:r w:rsidRPr="00054EDA">
        <w:rPr>
          <w:rFonts w:ascii="Arial" w:hAnsi="Arial" w:cs="Arial"/>
        </w:rPr>
        <w:t xml:space="preserve"> and under section 261 if a driver contravenes a maximum work or minimum rest requirement. The packer also commits an offence if the weight of the container exceeds the maximum gross weight marked on the container or the container’s safety approval plate</w:t>
      </w:r>
      <w:r w:rsidR="00AD1844">
        <w:rPr>
          <w:rFonts w:ascii="Arial" w:hAnsi="Arial" w:cs="Arial"/>
        </w:rPr>
        <w:t>,</w:t>
      </w:r>
      <w:r w:rsidRPr="00054EDA">
        <w:rPr>
          <w:rFonts w:ascii="Arial" w:hAnsi="Arial" w:cs="Arial"/>
        </w:rPr>
        <w:t xml:space="preserve"> or if the transport documentation relating to the mass, dimension or loading of the goods is false or misleading. </w:t>
      </w:r>
    </w:p>
    <w:p w14:paraId="3121CE1D" w14:textId="77777777" w:rsidR="003F2FA0" w:rsidRPr="00054EDA" w:rsidRDefault="005B3555" w:rsidP="00054EDA">
      <w:pPr>
        <w:spacing w:before="240" w:after="240" w:line="360" w:lineRule="auto"/>
        <w:rPr>
          <w:rFonts w:ascii="Arial" w:hAnsi="Arial" w:cs="Arial"/>
        </w:rPr>
      </w:pPr>
      <w:r w:rsidRPr="00054EDA">
        <w:rPr>
          <w:rFonts w:ascii="Arial" w:hAnsi="Arial" w:cs="Arial"/>
        </w:rPr>
        <w:t>Examples of how loaders could comply w</w:t>
      </w:r>
      <w:r w:rsidR="003F2FA0" w:rsidRPr="00054EDA">
        <w:rPr>
          <w:rFonts w:ascii="Arial" w:hAnsi="Arial" w:cs="Arial"/>
        </w:rPr>
        <w:t xml:space="preserve">ith their obligations include: </w:t>
      </w:r>
    </w:p>
    <w:p w14:paraId="78ECEF45" w14:textId="77777777" w:rsidR="003F2FA0" w:rsidRPr="00054EDA" w:rsidRDefault="000018A4" w:rsidP="00AD1844">
      <w:pPr>
        <w:pStyle w:val="ListParagraph"/>
        <w:numPr>
          <w:ilvl w:val="0"/>
          <w:numId w:val="13"/>
        </w:numPr>
        <w:spacing w:before="240" w:after="240" w:line="360" w:lineRule="auto"/>
        <w:contextualSpacing w:val="0"/>
        <w:rPr>
          <w:rFonts w:ascii="Arial" w:hAnsi="Arial" w:cs="Arial"/>
        </w:rPr>
      </w:pPr>
      <w:r w:rsidRPr="00054EDA">
        <w:rPr>
          <w:rFonts w:ascii="Arial" w:hAnsi="Arial" w:cs="Arial"/>
        </w:rPr>
        <w:t>Ensuring a vehic</w:t>
      </w:r>
      <w:r w:rsidR="005B3555" w:rsidRPr="00054EDA">
        <w:rPr>
          <w:rFonts w:ascii="Arial" w:hAnsi="Arial" w:cs="Arial"/>
        </w:rPr>
        <w:t>le’s load does not exceed vehi</w:t>
      </w:r>
      <w:r w:rsidR="003F2FA0" w:rsidRPr="00054EDA">
        <w:rPr>
          <w:rFonts w:ascii="Arial" w:hAnsi="Arial" w:cs="Arial"/>
        </w:rPr>
        <w:t>cle mass or dimension limits</w:t>
      </w:r>
      <w:r w:rsidR="00AD1844">
        <w:rPr>
          <w:rFonts w:ascii="Arial" w:hAnsi="Arial" w:cs="Arial"/>
        </w:rPr>
        <w:t>,</w:t>
      </w:r>
    </w:p>
    <w:p w14:paraId="34A427DF" w14:textId="77777777" w:rsidR="003F2FA0" w:rsidRPr="00054EDA" w:rsidRDefault="000018A4" w:rsidP="00AD1844">
      <w:pPr>
        <w:pStyle w:val="ListParagraph"/>
        <w:numPr>
          <w:ilvl w:val="0"/>
          <w:numId w:val="13"/>
        </w:numPr>
        <w:spacing w:before="240" w:after="240" w:line="360" w:lineRule="auto"/>
        <w:contextualSpacing w:val="0"/>
        <w:rPr>
          <w:rFonts w:ascii="Arial" w:hAnsi="Arial" w:cs="Arial"/>
        </w:rPr>
      </w:pPr>
      <w:r w:rsidRPr="00054EDA">
        <w:rPr>
          <w:rFonts w:ascii="Arial" w:hAnsi="Arial" w:cs="Arial"/>
        </w:rPr>
        <w:t>Ensuring a vehicle’s load is placed in a way so it does not become unstable, move</w:t>
      </w:r>
      <w:r w:rsidR="003F2FA0" w:rsidRPr="00054EDA">
        <w:rPr>
          <w:rFonts w:ascii="Arial" w:hAnsi="Arial" w:cs="Arial"/>
        </w:rPr>
        <w:t xml:space="preserve"> or fall off the vehicle</w:t>
      </w:r>
      <w:r w:rsidR="00AD1844">
        <w:rPr>
          <w:rFonts w:ascii="Arial" w:hAnsi="Arial" w:cs="Arial"/>
        </w:rPr>
        <w:t>,</w:t>
      </w:r>
      <w:r w:rsidR="003F2FA0" w:rsidRPr="00054EDA">
        <w:rPr>
          <w:rFonts w:ascii="Arial" w:hAnsi="Arial" w:cs="Arial"/>
        </w:rPr>
        <w:t xml:space="preserve"> and </w:t>
      </w:r>
    </w:p>
    <w:p w14:paraId="189A6EF4" w14:textId="77777777" w:rsidR="003F2FA0" w:rsidRPr="00054EDA" w:rsidRDefault="000018A4" w:rsidP="00AD1844">
      <w:pPr>
        <w:pStyle w:val="ListParagraph"/>
        <w:numPr>
          <w:ilvl w:val="0"/>
          <w:numId w:val="13"/>
        </w:numPr>
        <w:spacing w:before="240" w:after="240" w:line="360" w:lineRule="auto"/>
        <w:contextualSpacing w:val="0"/>
        <w:rPr>
          <w:rFonts w:ascii="Arial" w:hAnsi="Arial" w:cs="Arial"/>
        </w:rPr>
      </w:pPr>
      <w:r w:rsidRPr="00054EDA">
        <w:rPr>
          <w:rFonts w:ascii="Arial" w:hAnsi="Arial" w:cs="Arial"/>
        </w:rPr>
        <w:t>Ensuring vehicles are loaded as quickly and efficiently as possible examples of h</w:t>
      </w:r>
      <w:r w:rsidR="005B3555" w:rsidRPr="00054EDA">
        <w:rPr>
          <w:rFonts w:ascii="Arial" w:hAnsi="Arial" w:cs="Arial"/>
        </w:rPr>
        <w:t>ow packers could comply wi</w:t>
      </w:r>
      <w:r w:rsidR="003F2FA0" w:rsidRPr="00054EDA">
        <w:rPr>
          <w:rFonts w:ascii="Arial" w:hAnsi="Arial" w:cs="Arial"/>
        </w:rPr>
        <w:t xml:space="preserve">th their obligations include: </w:t>
      </w:r>
    </w:p>
    <w:p w14:paraId="779F516A" w14:textId="77777777" w:rsidR="003F2FA0" w:rsidRPr="00054EDA" w:rsidRDefault="000018A4" w:rsidP="00AD1844">
      <w:pPr>
        <w:pStyle w:val="ListParagraph"/>
        <w:numPr>
          <w:ilvl w:val="1"/>
          <w:numId w:val="14"/>
        </w:numPr>
        <w:spacing w:before="240" w:after="240" w:line="360" w:lineRule="auto"/>
        <w:contextualSpacing w:val="0"/>
        <w:rPr>
          <w:rFonts w:ascii="Arial" w:hAnsi="Arial" w:cs="Arial"/>
        </w:rPr>
      </w:pPr>
      <w:r w:rsidRPr="00054EDA">
        <w:rPr>
          <w:rFonts w:ascii="Arial" w:hAnsi="Arial" w:cs="Arial"/>
        </w:rPr>
        <w:t>Ensuring documentation about the vehicle’s load is</w:t>
      </w:r>
      <w:r w:rsidR="003F2FA0" w:rsidRPr="00054EDA">
        <w:rPr>
          <w:rFonts w:ascii="Arial" w:hAnsi="Arial" w:cs="Arial"/>
        </w:rPr>
        <w:t xml:space="preserve"> not false or misleading</w:t>
      </w:r>
      <w:r w:rsidR="00AD1844">
        <w:rPr>
          <w:rFonts w:ascii="Arial" w:hAnsi="Arial" w:cs="Arial"/>
        </w:rPr>
        <w:t>,</w:t>
      </w:r>
      <w:r w:rsidR="003F2FA0" w:rsidRPr="00054EDA">
        <w:rPr>
          <w:rFonts w:ascii="Arial" w:hAnsi="Arial" w:cs="Arial"/>
        </w:rPr>
        <w:t xml:space="preserve"> and </w:t>
      </w:r>
    </w:p>
    <w:p w14:paraId="36035A5A" w14:textId="77777777" w:rsidR="006C57E0" w:rsidRPr="00054EDA" w:rsidRDefault="000018A4" w:rsidP="00AD1844">
      <w:pPr>
        <w:pStyle w:val="ListParagraph"/>
        <w:numPr>
          <w:ilvl w:val="1"/>
          <w:numId w:val="14"/>
        </w:numPr>
        <w:spacing w:before="240" w:after="240" w:line="360" w:lineRule="auto"/>
        <w:contextualSpacing w:val="0"/>
        <w:rPr>
          <w:rFonts w:ascii="Arial" w:hAnsi="Arial" w:cs="Arial"/>
        </w:rPr>
      </w:pPr>
      <w:r w:rsidRPr="00054EDA">
        <w:rPr>
          <w:rFonts w:ascii="Arial" w:hAnsi="Arial" w:cs="Arial"/>
        </w:rPr>
        <w:t xml:space="preserve">Ensuring any goods packed in a freight container does not cause the container’s gross </w:t>
      </w:r>
      <w:r w:rsidR="005B3555" w:rsidRPr="00054EDA">
        <w:rPr>
          <w:rFonts w:ascii="Arial" w:hAnsi="Arial" w:cs="Arial"/>
        </w:rPr>
        <w:t xml:space="preserve">weight or safety approval rating to be exceeded. </w:t>
      </w:r>
    </w:p>
    <w:p w14:paraId="39ADF880" w14:textId="77777777" w:rsidR="006C57E0" w:rsidRPr="00054EDA" w:rsidRDefault="005B3555" w:rsidP="00054EDA">
      <w:pPr>
        <w:spacing w:before="240" w:after="240" w:line="360" w:lineRule="auto"/>
        <w:rPr>
          <w:rFonts w:ascii="Arial" w:hAnsi="Arial" w:cs="Arial"/>
          <w:b/>
        </w:rPr>
      </w:pPr>
      <w:r w:rsidRPr="00054EDA">
        <w:rPr>
          <w:rFonts w:ascii="Arial" w:hAnsi="Arial" w:cs="Arial"/>
          <w:b/>
        </w:rPr>
        <w:t xml:space="preserve">Heavy </w:t>
      </w:r>
      <w:r w:rsidR="00435FFC">
        <w:rPr>
          <w:rFonts w:ascii="Arial" w:hAnsi="Arial" w:cs="Arial"/>
          <w:b/>
        </w:rPr>
        <w:t>v</w:t>
      </w:r>
      <w:r w:rsidRPr="00054EDA">
        <w:rPr>
          <w:rFonts w:ascii="Arial" w:hAnsi="Arial" w:cs="Arial"/>
          <w:b/>
        </w:rPr>
        <w:t>ehicles</w:t>
      </w:r>
      <w:r w:rsidR="00435FFC">
        <w:rPr>
          <w:rFonts w:ascii="Arial" w:hAnsi="Arial" w:cs="Arial"/>
          <w:b/>
        </w:rPr>
        <w:t>:</w:t>
      </w:r>
      <w:r w:rsidRPr="00054EDA">
        <w:rPr>
          <w:rFonts w:ascii="Arial" w:hAnsi="Arial" w:cs="Arial"/>
          <w:b/>
        </w:rPr>
        <w:t xml:space="preserve"> </w:t>
      </w:r>
    </w:p>
    <w:p w14:paraId="62231D1E" w14:textId="77777777" w:rsidR="006C57E0" w:rsidRPr="00054EDA" w:rsidRDefault="005B3555" w:rsidP="00054EDA">
      <w:pPr>
        <w:spacing w:before="240" w:after="240" w:line="360" w:lineRule="auto"/>
        <w:rPr>
          <w:rFonts w:ascii="Arial" w:hAnsi="Arial" w:cs="Arial"/>
        </w:rPr>
      </w:pPr>
      <w:r w:rsidRPr="00054EDA">
        <w:rPr>
          <w:rFonts w:ascii="Arial" w:hAnsi="Arial" w:cs="Arial"/>
        </w:rPr>
        <w:t xml:space="preserve">Under the Heavy Vehicle National Law (HVNL) a heavy vehicle is a vehicle that has a Gross Vehicle Mass (GVM) or Aggregate Trailer Mass (ATM) of more than 4.5 tonnes and a combination that includes a vehicle with a GVM or ATM of more than 4.5 tonnes. </w:t>
      </w:r>
    </w:p>
    <w:p w14:paraId="7820E0D6" w14:textId="77777777" w:rsidR="006C57E0" w:rsidRPr="00054EDA" w:rsidRDefault="005B3555" w:rsidP="00054EDA">
      <w:pPr>
        <w:spacing w:before="240" w:after="240" w:line="360" w:lineRule="auto"/>
        <w:rPr>
          <w:rFonts w:ascii="Arial" w:hAnsi="Arial" w:cs="Arial"/>
          <w:b/>
        </w:rPr>
      </w:pPr>
      <w:r w:rsidRPr="00054EDA">
        <w:rPr>
          <w:rFonts w:ascii="Arial" w:hAnsi="Arial" w:cs="Arial"/>
          <w:b/>
        </w:rPr>
        <w:t xml:space="preserve">Heavy </w:t>
      </w:r>
      <w:r w:rsidR="006351EC" w:rsidRPr="00054EDA">
        <w:rPr>
          <w:rFonts w:ascii="Arial" w:hAnsi="Arial" w:cs="Arial"/>
          <w:b/>
        </w:rPr>
        <w:t>vehicles speed limits</w:t>
      </w:r>
      <w:r w:rsidR="006351EC">
        <w:rPr>
          <w:rFonts w:ascii="Arial" w:hAnsi="Arial" w:cs="Arial"/>
          <w:b/>
        </w:rPr>
        <w:t>:</w:t>
      </w:r>
      <w:r w:rsidR="006351EC" w:rsidRPr="00054EDA">
        <w:rPr>
          <w:rFonts w:ascii="Arial" w:hAnsi="Arial" w:cs="Arial"/>
          <w:b/>
        </w:rPr>
        <w:t xml:space="preserve"> </w:t>
      </w:r>
    </w:p>
    <w:p w14:paraId="205E62E3" w14:textId="77777777" w:rsidR="006C57E0" w:rsidRPr="00054EDA" w:rsidRDefault="005B3555" w:rsidP="00054EDA">
      <w:pPr>
        <w:spacing w:before="240" w:after="240" w:line="360" w:lineRule="auto"/>
        <w:rPr>
          <w:rFonts w:ascii="Arial" w:hAnsi="Arial" w:cs="Arial"/>
        </w:rPr>
      </w:pPr>
      <w:r w:rsidRPr="00054EDA">
        <w:rPr>
          <w:rFonts w:ascii="Arial" w:hAnsi="Arial" w:cs="Arial"/>
        </w:rPr>
        <w:t xml:space="preserve">The maximum speed limit for a vehicle more than 4.5 tonnes Gross Vehicle Mass (GVM) is 100 km/h. For certain road conditions, special speed limit signs may be posted for trucks, road trains and buses. You must not drive at a speed greater than the speed shown on the sign. </w:t>
      </w:r>
    </w:p>
    <w:p w14:paraId="60045CBB" w14:textId="77777777" w:rsidR="006C57E0" w:rsidRPr="00054EDA" w:rsidRDefault="00715501" w:rsidP="00054EDA">
      <w:pPr>
        <w:spacing w:before="240" w:after="240" w:line="360" w:lineRule="auto"/>
        <w:rPr>
          <w:rFonts w:ascii="Arial" w:hAnsi="Arial" w:cs="Arial"/>
          <w:b/>
        </w:rPr>
      </w:pPr>
      <w:r w:rsidRPr="00054EDA">
        <w:rPr>
          <w:rFonts w:ascii="Arial" w:hAnsi="Arial" w:cs="Arial"/>
          <w:b/>
        </w:rPr>
        <w:t xml:space="preserve">Vehicles </w:t>
      </w:r>
      <w:r w:rsidR="00763275" w:rsidRPr="00054EDA">
        <w:rPr>
          <w:rFonts w:ascii="Arial" w:hAnsi="Arial" w:cs="Arial"/>
          <w:b/>
        </w:rPr>
        <w:t>required to be fitted with a speed limit device</w:t>
      </w:r>
      <w:r w:rsidR="00763275">
        <w:rPr>
          <w:rFonts w:ascii="Arial" w:hAnsi="Arial" w:cs="Arial"/>
          <w:b/>
        </w:rPr>
        <w:t>:</w:t>
      </w:r>
      <w:r w:rsidR="00763275" w:rsidRPr="00054EDA">
        <w:rPr>
          <w:rFonts w:ascii="Arial" w:hAnsi="Arial" w:cs="Arial"/>
          <w:b/>
        </w:rPr>
        <w:t xml:space="preserve"> </w:t>
      </w:r>
    </w:p>
    <w:p w14:paraId="2266499A" w14:textId="77777777" w:rsidR="005A058C" w:rsidRPr="00054EDA" w:rsidRDefault="005B3555" w:rsidP="00054EDA">
      <w:pPr>
        <w:spacing w:before="240" w:after="240" w:line="360" w:lineRule="auto"/>
        <w:rPr>
          <w:rFonts w:ascii="Arial" w:hAnsi="Arial" w:cs="Arial"/>
        </w:rPr>
      </w:pPr>
      <w:r w:rsidRPr="00054EDA">
        <w:rPr>
          <w:rFonts w:ascii="Arial" w:hAnsi="Arial" w:cs="Arial"/>
        </w:rPr>
        <w:t>The Australian Design Rule 65/00 requires the following vehicles be fitted with a speed limiting device:</w:t>
      </w:r>
    </w:p>
    <w:p w14:paraId="4922605A" w14:textId="77777777" w:rsidR="006C57E0" w:rsidRPr="00054EDA" w:rsidRDefault="00C23F78" w:rsidP="00214201">
      <w:pPr>
        <w:pStyle w:val="ListParagraph"/>
        <w:numPr>
          <w:ilvl w:val="0"/>
          <w:numId w:val="15"/>
        </w:numPr>
        <w:spacing w:before="240" w:after="240" w:line="360" w:lineRule="auto"/>
        <w:contextualSpacing w:val="0"/>
        <w:rPr>
          <w:rFonts w:ascii="Arial" w:hAnsi="Arial" w:cs="Arial"/>
        </w:rPr>
      </w:pPr>
      <w:r w:rsidRPr="00054EDA">
        <w:rPr>
          <w:rFonts w:ascii="Arial" w:hAnsi="Arial" w:cs="Arial"/>
        </w:rPr>
        <w:lastRenderedPageBreak/>
        <w:t>H</w:t>
      </w:r>
      <w:r w:rsidR="006C57E0" w:rsidRPr="00054EDA">
        <w:rPr>
          <w:rFonts w:ascii="Arial" w:hAnsi="Arial" w:cs="Arial"/>
        </w:rPr>
        <w:t xml:space="preserve">eavy omnibus over 5 </w:t>
      </w:r>
      <w:proofErr w:type="gramStart"/>
      <w:r w:rsidR="006C57E0" w:rsidRPr="00054EDA">
        <w:rPr>
          <w:rFonts w:ascii="Arial" w:hAnsi="Arial" w:cs="Arial"/>
        </w:rPr>
        <w:t>tonne</w:t>
      </w:r>
      <w:proofErr w:type="gramEnd"/>
      <w:r w:rsidR="006C57E0" w:rsidRPr="00054EDA">
        <w:rPr>
          <w:rFonts w:ascii="Arial" w:hAnsi="Arial" w:cs="Arial"/>
        </w:rPr>
        <w:t>, up to 14.5 tonne GVM and built on or after 1 July 1991</w:t>
      </w:r>
      <w:r w:rsidR="00214201">
        <w:rPr>
          <w:rFonts w:ascii="Arial" w:hAnsi="Arial" w:cs="Arial"/>
        </w:rPr>
        <w:t>,</w:t>
      </w:r>
      <w:r w:rsidR="006C57E0" w:rsidRPr="00054EDA">
        <w:rPr>
          <w:rFonts w:ascii="Arial" w:hAnsi="Arial" w:cs="Arial"/>
        </w:rPr>
        <w:t xml:space="preserve"> </w:t>
      </w:r>
    </w:p>
    <w:p w14:paraId="46D73A81" w14:textId="77777777" w:rsidR="006C57E0" w:rsidRPr="00054EDA" w:rsidRDefault="00C23F78" w:rsidP="00214201">
      <w:pPr>
        <w:pStyle w:val="ListParagraph"/>
        <w:numPr>
          <w:ilvl w:val="0"/>
          <w:numId w:val="15"/>
        </w:numPr>
        <w:spacing w:before="240" w:after="240" w:line="360" w:lineRule="auto"/>
        <w:contextualSpacing w:val="0"/>
        <w:rPr>
          <w:rFonts w:ascii="Arial" w:hAnsi="Arial" w:cs="Arial"/>
        </w:rPr>
      </w:pPr>
      <w:r w:rsidRPr="00054EDA">
        <w:rPr>
          <w:rFonts w:ascii="Arial" w:hAnsi="Arial" w:cs="Arial"/>
        </w:rPr>
        <w:t>H</w:t>
      </w:r>
      <w:r w:rsidR="006C57E0" w:rsidRPr="00054EDA">
        <w:rPr>
          <w:rFonts w:ascii="Arial" w:hAnsi="Arial" w:cs="Arial"/>
        </w:rPr>
        <w:t>eavy omnibus over 14.5 tonne GVM and built on or after 1 Jan 1991</w:t>
      </w:r>
      <w:r w:rsidR="00214201">
        <w:rPr>
          <w:rFonts w:ascii="Arial" w:hAnsi="Arial" w:cs="Arial"/>
        </w:rPr>
        <w:t>,</w:t>
      </w:r>
      <w:r w:rsidR="006C57E0" w:rsidRPr="00054EDA">
        <w:rPr>
          <w:rFonts w:ascii="Arial" w:hAnsi="Arial" w:cs="Arial"/>
        </w:rPr>
        <w:t xml:space="preserve"> </w:t>
      </w:r>
    </w:p>
    <w:p w14:paraId="49EC5096" w14:textId="77777777" w:rsidR="006C57E0" w:rsidRPr="00054EDA" w:rsidRDefault="00C23F78" w:rsidP="00214201">
      <w:pPr>
        <w:pStyle w:val="ListParagraph"/>
        <w:numPr>
          <w:ilvl w:val="0"/>
          <w:numId w:val="15"/>
        </w:numPr>
        <w:spacing w:before="240" w:after="240" w:line="360" w:lineRule="auto"/>
        <w:contextualSpacing w:val="0"/>
        <w:rPr>
          <w:rFonts w:ascii="Arial" w:hAnsi="Arial" w:cs="Arial"/>
        </w:rPr>
      </w:pPr>
      <w:r w:rsidRPr="00054EDA">
        <w:rPr>
          <w:rFonts w:ascii="Arial" w:hAnsi="Arial" w:cs="Arial"/>
        </w:rPr>
        <w:t>H</w:t>
      </w:r>
      <w:r w:rsidR="006C57E0" w:rsidRPr="00054EDA">
        <w:rPr>
          <w:rFonts w:ascii="Arial" w:hAnsi="Arial" w:cs="Arial"/>
        </w:rPr>
        <w:t>eavy goods vehicle over 12 tonne GVM, up to 300HP and built on or after 1 July 1991</w:t>
      </w:r>
      <w:r w:rsidR="00214201">
        <w:rPr>
          <w:rFonts w:ascii="Arial" w:hAnsi="Arial" w:cs="Arial"/>
        </w:rPr>
        <w:t>,</w:t>
      </w:r>
      <w:r w:rsidR="006C57E0" w:rsidRPr="00054EDA">
        <w:rPr>
          <w:rFonts w:ascii="Arial" w:hAnsi="Arial" w:cs="Arial"/>
        </w:rPr>
        <w:t xml:space="preserve"> </w:t>
      </w:r>
    </w:p>
    <w:p w14:paraId="09DC6FA6" w14:textId="77777777" w:rsidR="006C57E0" w:rsidRPr="00054EDA" w:rsidRDefault="00C23F78" w:rsidP="00214201">
      <w:pPr>
        <w:pStyle w:val="ListParagraph"/>
        <w:numPr>
          <w:ilvl w:val="0"/>
          <w:numId w:val="15"/>
        </w:numPr>
        <w:spacing w:before="240" w:after="240" w:line="360" w:lineRule="auto"/>
        <w:contextualSpacing w:val="0"/>
        <w:rPr>
          <w:rFonts w:ascii="Arial" w:hAnsi="Arial" w:cs="Arial"/>
        </w:rPr>
      </w:pPr>
      <w:r w:rsidRPr="00054EDA">
        <w:rPr>
          <w:rFonts w:ascii="Arial" w:hAnsi="Arial" w:cs="Arial"/>
        </w:rPr>
        <w:t>H</w:t>
      </w:r>
      <w:r w:rsidR="006C57E0" w:rsidRPr="00054EDA">
        <w:rPr>
          <w:rFonts w:ascii="Arial" w:hAnsi="Arial" w:cs="Arial"/>
        </w:rPr>
        <w:t xml:space="preserve">eavy goods vehicle over 12 tonne GVM, over 300HP and built on or after 1 Jan 1991 Section 140 of the Vehicle Standard of Safety Regulation requires the following vehicles comply with ADR 65/00: </w:t>
      </w:r>
    </w:p>
    <w:p w14:paraId="68B3EF05" w14:textId="77777777" w:rsidR="00C23F78" w:rsidRPr="00054EDA" w:rsidRDefault="00C23F78" w:rsidP="00214201">
      <w:pPr>
        <w:pStyle w:val="ListParagraph"/>
        <w:numPr>
          <w:ilvl w:val="1"/>
          <w:numId w:val="16"/>
        </w:numPr>
        <w:spacing w:before="240" w:after="240" w:line="360" w:lineRule="auto"/>
        <w:contextualSpacing w:val="0"/>
        <w:rPr>
          <w:rFonts w:ascii="Arial" w:hAnsi="Arial" w:cs="Arial"/>
        </w:rPr>
      </w:pPr>
      <w:r w:rsidRPr="00054EDA">
        <w:rPr>
          <w:rFonts w:ascii="Arial" w:hAnsi="Arial" w:cs="Arial"/>
        </w:rPr>
        <w:t>B</w:t>
      </w:r>
      <w:r w:rsidR="006C57E0" w:rsidRPr="00054EDA">
        <w:rPr>
          <w:rFonts w:ascii="Arial" w:hAnsi="Arial" w:cs="Arial"/>
        </w:rPr>
        <w:t>uses with a GVM over 14.5 tonne built after 1987</w:t>
      </w:r>
      <w:r w:rsidR="00214201">
        <w:rPr>
          <w:rFonts w:ascii="Arial" w:hAnsi="Arial" w:cs="Arial"/>
        </w:rPr>
        <w:t>,</w:t>
      </w:r>
      <w:r w:rsidR="006C57E0" w:rsidRPr="00054EDA">
        <w:rPr>
          <w:rFonts w:ascii="Arial" w:hAnsi="Arial" w:cs="Arial"/>
        </w:rPr>
        <w:t xml:space="preserve"> </w:t>
      </w:r>
    </w:p>
    <w:p w14:paraId="59E58A1A" w14:textId="77777777" w:rsidR="00E428F3" w:rsidRPr="00054EDA" w:rsidRDefault="00C23F78" w:rsidP="00214201">
      <w:pPr>
        <w:pStyle w:val="ListParagraph"/>
        <w:numPr>
          <w:ilvl w:val="1"/>
          <w:numId w:val="16"/>
        </w:numPr>
        <w:spacing w:before="240" w:after="240" w:line="360" w:lineRule="auto"/>
        <w:contextualSpacing w:val="0"/>
        <w:rPr>
          <w:rFonts w:ascii="Arial" w:hAnsi="Arial" w:cs="Arial"/>
        </w:rPr>
      </w:pPr>
      <w:r w:rsidRPr="00054EDA">
        <w:rPr>
          <w:rFonts w:ascii="Arial" w:hAnsi="Arial" w:cs="Arial"/>
        </w:rPr>
        <w:t>P</w:t>
      </w:r>
      <w:r w:rsidR="006C57E0" w:rsidRPr="00054EDA">
        <w:rPr>
          <w:rFonts w:ascii="Arial" w:hAnsi="Arial" w:cs="Arial"/>
        </w:rPr>
        <w:t xml:space="preserve">rime movers with a GVM over 15 </w:t>
      </w:r>
      <w:proofErr w:type="gramStart"/>
      <w:r w:rsidR="006C57E0" w:rsidRPr="00054EDA">
        <w:rPr>
          <w:rFonts w:ascii="Arial" w:hAnsi="Arial" w:cs="Arial"/>
        </w:rPr>
        <w:t>tonne</w:t>
      </w:r>
      <w:proofErr w:type="gramEnd"/>
      <w:r w:rsidR="006C57E0" w:rsidRPr="00054EDA">
        <w:rPr>
          <w:rFonts w:ascii="Arial" w:hAnsi="Arial" w:cs="Arial"/>
        </w:rPr>
        <w:t xml:space="preserve"> built after 1987 Mass, Dimension and Load Restraint All parties to the CoR must comply with all mass, di</w:t>
      </w:r>
      <w:r w:rsidR="00E428F3" w:rsidRPr="00054EDA">
        <w:rPr>
          <w:rFonts w:ascii="Arial" w:hAnsi="Arial" w:cs="Arial"/>
        </w:rPr>
        <w:t>mension and load restraint laws</w:t>
      </w:r>
      <w:r w:rsidR="00214201">
        <w:rPr>
          <w:rFonts w:ascii="Arial" w:hAnsi="Arial" w:cs="Arial"/>
        </w:rPr>
        <w:t>.</w:t>
      </w:r>
    </w:p>
    <w:p w14:paraId="55EFE7E1" w14:textId="77777777" w:rsidR="00E428F3" w:rsidRPr="00054EDA" w:rsidRDefault="006C57E0" w:rsidP="00054EDA">
      <w:pPr>
        <w:spacing w:before="240" w:after="240" w:line="360" w:lineRule="auto"/>
        <w:ind w:left="360"/>
        <w:rPr>
          <w:rFonts w:ascii="Arial" w:hAnsi="Arial" w:cs="Arial"/>
        </w:rPr>
      </w:pPr>
      <w:r w:rsidRPr="00054EDA">
        <w:rPr>
          <w:rFonts w:ascii="Arial" w:hAnsi="Arial" w:cs="Arial"/>
        </w:rPr>
        <w:t>Mass re</w:t>
      </w:r>
      <w:r w:rsidR="00E428F3" w:rsidRPr="00054EDA">
        <w:rPr>
          <w:rFonts w:ascii="Arial" w:hAnsi="Arial" w:cs="Arial"/>
        </w:rPr>
        <w:t xml:space="preserve">quirements may relate to the: </w:t>
      </w:r>
    </w:p>
    <w:p w14:paraId="6F9F73CF" w14:textId="77777777" w:rsidR="00E428F3" w:rsidRPr="00054EDA" w:rsidRDefault="00E428F3" w:rsidP="005E4F0F">
      <w:pPr>
        <w:pStyle w:val="ListParagraph"/>
        <w:numPr>
          <w:ilvl w:val="0"/>
          <w:numId w:val="17"/>
        </w:numPr>
        <w:spacing w:before="240" w:after="240" w:line="360" w:lineRule="auto"/>
        <w:ind w:left="993" w:hanging="294"/>
        <w:contextualSpacing w:val="0"/>
        <w:rPr>
          <w:rFonts w:ascii="Arial" w:hAnsi="Arial" w:cs="Arial"/>
        </w:rPr>
      </w:pPr>
      <w:r w:rsidRPr="00054EDA">
        <w:rPr>
          <w:rFonts w:ascii="Arial" w:hAnsi="Arial" w:cs="Arial"/>
        </w:rPr>
        <w:t>Tare mass of heavy vehicles</w:t>
      </w:r>
      <w:r w:rsidR="007E306E">
        <w:rPr>
          <w:rFonts w:ascii="Arial" w:hAnsi="Arial" w:cs="Arial"/>
        </w:rPr>
        <w:t>,</w:t>
      </w:r>
      <w:r w:rsidRPr="00054EDA">
        <w:rPr>
          <w:rFonts w:ascii="Arial" w:hAnsi="Arial" w:cs="Arial"/>
        </w:rPr>
        <w:t xml:space="preserve"> </w:t>
      </w:r>
    </w:p>
    <w:p w14:paraId="532ABA91" w14:textId="77777777" w:rsidR="00E428F3" w:rsidRPr="00054EDA" w:rsidRDefault="006C57E0" w:rsidP="005E4F0F">
      <w:pPr>
        <w:pStyle w:val="ListParagraph"/>
        <w:numPr>
          <w:ilvl w:val="0"/>
          <w:numId w:val="17"/>
        </w:numPr>
        <w:spacing w:before="240" w:after="240" w:line="360" w:lineRule="auto"/>
        <w:ind w:left="993" w:hanging="294"/>
        <w:contextualSpacing w:val="0"/>
        <w:rPr>
          <w:rFonts w:ascii="Arial" w:hAnsi="Arial" w:cs="Arial"/>
        </w:rPr>
      </w:pPr>
      <w:r w:rsidRPr="00054EDA">
        <w:rPr>
          <w:rFonts w:ascii="Arial" w:hAnsi="Arial" w:cs="Arial"/>
        </w:rPr>
        <w:t>Mass of heavy vehic</w:t>
      </w:r>
      <w:r w:rsidR="00E428F3" w:rsidRPr="00054EDA">
        <w:rPr>
          <w:rFonts w:ascii="Arial" w:hAnsi="Arial" w:cs="Arial"/>
        </w:rPr>
        <w:t>les together with their loads</w:t>
      </w:r>
      <w:r w:rsidR="007E306E">
        <w:rPr>
          <w:rFonts w:ascii="Arial" w:hAnsi="Arial" w:cs="Arial"/>
        </w:rPr>
        <w:t>,</w:t>
      </w:r>
      <w:r w:rsidR="00E428F3" w:rsidRPr="00054EDA">
        <w:rPr>
          <w:rFonts w:ascii="Arial" w:hAnsi="Arial" w:cs="Arial"/>
        </w:rPr>
        <w:t xml:space="preserve"> </w:t>
      </w:r>
    </w:p>
    <w:p w14:paraId="29443BF2" w14:textId="77777777" w:rsidR="00E428F3" w:rsidRPr="00054EDA" w:rsidRDefault="006C57E0" w:rsidP="005E4F0F">
      <w:pPr>
        <w:pStyle w:val="ListParagraph"/>
        <w:numPr>
          <w:ilvl w:val="0"/>
          <w:numId w:val="17"/>
        </w:numPr>
        <w:spacing w:before="240" w:after="240" w:line="360" w:lineRule="auto"/>
        <w:ind w:left="993" w:hanging="294"/>
        <w:contextualSpacing w:val="0"/>
        <w:rPr>
          <w:rFonts w:ascii="Arial" w:hAnsi="Arial" w:cs="Arial"/>
        </w:rPr>
      </w:pPr>
      <w:r w:rsidRPr="00054EDA">
        <w:rPr>
          <w:rFonts w:ascii="Arial" w:hAnsi="Arial" w:cs="Arial"/>
        </w:rPr>
        <w:t>Mass on tyres, axles or a</w:t>
      </w:r>
      <w:r w:rsidR="00E428F3" w:rsidRPr="00054EDA">
        <w:rPr>
          <w:rFonts w:ascii="Arial" w:hAnsi="Arial" w:cs="Arial"/>
        </w:rPr>
        <w:t>xle groups of heavy vehicles</w:t>
      </w:r>
      <w:r w:rsidR="007E306E">
        <w:rPr>
          <w:rFonts w:ascii="Arial" w:hAnsi="Arial" w:cs="Arial"/>
        </w:rPr>
        <w:t>,</w:t>
      </w:r>
      <w:r w:rsidR="00E428F3" w:rsidRPr="00054EDA">
        <w:rPr>
          <w:rFonts w:ascii="Arial" w:hAnsi="Arial" w:cs="Arial"/>
        </w:rPr>
        <w:t xml:space="preserve"> </w:t>
      </w:r>
    </w:p>
    <w:p w14:paraId="39BC82A3" w14:textId="77777777" w:rsidR="00E428F3" w:rsidRPr="00054EDA" w:rsidRDefault="006C57E0" w:rsidP="005E4F0F">
      <w:pPr>
        <w:pStyle w:val="ListParagraph"/>
        <w:numPr>
          <w:ilvl w:val="0"/>
          <w:numId w:val="17"/>
        </w:numPr>
        <w:spacing w:before="240" w:after="240" w:line="360" w:lineRule="auto"/>
        <w:ind w:left="993" w:hanging="294"/>
        <w:contextualSpacing w:val="0"/>
        <w:rPr>
          <w:rFonts w:ascii="Arial" w:hAnsi="Arial" w:cs="Arial"/>
        </w:rPr>
      </w:pPr>
      <w:r w:rsidRPr="00054EDA">
        <w:rPr>
          <w:rFonts w:ascii="Arial" w:hAnsi="Arial" w:cs="Arial"/>
        </w:rPr>
        <w:t>Axle spacing on any</w:t>
      </w:r>
      <w:r w:rsidR="00E428F3" w:rsidRPr="00054EDA">
        <w:rPr>
          <w:rFonts w:ascii="Arial" w:hAnsi="Arial" w:cs="Arial"/>
        </w:rPr>
        <w:t xml:space="preserve"> heavy vehicle or trailer</w:t>
      </w:r>
      <w:r w:rsidR="007E306E">
        <w:rPr>
          <w:rFonts w:ascii="Arial" w:hAnsi="Arial" w:cs="Arial"/>
        </w:rPr>
        <w:t>,</w:t>
      </w:r>
      <w:r w:rsidR="00E428F3" w:rsidRPr="00054EDA">
        <w:rPr>
          <w:rFonts w:ascii="Arial" w:hAnsi="Arial" w:cs="Arial"/>
        </w:rPr>
        <w:t xml:space="preserve"> or </w:t>
      </w:r>
    </w:p>
    <w:p w14:paraId="0FEC8B3F" w14:textId="77777777" w:rsidR="009E4056" w:rsidRPr="00054EDA" w:rsidRDefault="006C57E0" w:rsidP="005E4F0F">
      <w:pPr>
        <w:pStyle w:val="ListParagraph"/>
        <w:numPr>
          <w:ilvl w:val="0"/>
          <w:numId w:val="17"/>
        </w:numPr>
        <w:spacing w:before="240" w:after="240" w:line="360" w:lineRule="auto"/>
        <w:ind w:left="993" w:hanging="294"/>
        <w:contextualSpacing w:val="0"/>
        <w:rPr>
          <w:rFonts w:ascii="Arial" w:hAnsi="Arial" w:cs="Arial"/>
        </w:rPr>
      </w:pPr>
      <w:r w:rsidRPr="00054EDA">
        <w:rPr>
          <w:rFonts w:ascii="Arial" w:hAnsi="Arial" w:cs="Arial"/>
        </w:rPr>
        <w:t>Weight of any freight container and its goods</w:t>
      </w:r>
      <w:r w:rsidR="007E306E">
        <w:rPr>
          <w:rFonts w:ascii="Arial" w:hAnsi="Arial" w:cs="Arial"/>
        </w:rPr>
        <w:t>.</w:t>
      </w:r>
      <w:r w:rsidRPr="00054EDA">
        <w:rPr>
          <w:rFonts w:ascii="Arial" w:hAnsi="Arial" w:cs="Arial"/>
        </w:rPr>
        <w:t xml:space="preserve"> </w:t>
      </w:r>
    </w:p>
    <w:p w14:paraId="00A6B62C" w14:textId="77777777" w:rsidR="009E4056" w:rsidRPr="00054EDA" w:rsidRDefault="006C57E0" w:rsidP="00054EDA">
      <w:pPr>
        <w:spacing w:before="240" w:after="240" w:line="360" w:lineRule="auto"/>
        <w:ind w:left="360"/>
        <w:rPr>
          <w:rFonts w:ascii="Arial" w:hAnsi="Arial" w:cs="Arial"/>
        </w:rPr>
      </w:pPr>
      <w:r w:rsidRPr="00054EDA">
        <w:rPr>
          <w:rFonts w:ascii="Arial" w:hAnsi="Arial" w:cs="Arial"/>
        </w:rPr>
        <w:t xml:space="preserve">Dimension requirements may </w:t>
      </w:r>
      <w:r w:rsidR="009E4056" w:rsidRPr="00054EDA">
        <w:rPr>
          <w:rFonts w:ascii="Arial" w:hAnsi="Arial" w:cs="Arial"/>
        </w:rPr>
        <w:t xml:space="preserve">relate to the dimension of a: </w:t>
      </w:r>
    </w:p>
    <w:p w14:paraId="16A77800" w14:textId="77777777" w:rsidR="009E4056" w:rsidRPr="005E4F0F" w:rsidRDefault="006C57E0" w:rsidP="005E4F0F">
      <w:pPr>
        <w:pStyle w:val="ListParagraph"/>
        <w:numPr>
          <w:ilvl w:val="0"/>
          <w:numId w:val="18"/>
        </w:numPr>
        <w:spacing w:before="240" w:after="240" w:line="360" w:lineRule="auto"/>
        <w:ind w:left="1077" w:hanging="357"/>
        <w:contextualSpacing w:val="0"/>
        <w:rPr>
          <w:rFonts w:ascii="Arial" w:hAnsi="Arial" w:cs="Arial"/>
        </w:rPr>
      </w:pPr>
      <w:r w:rsidRPr="005E4F0F">
        <w:rPr>
          <w:rFonts w:ascii="Arial" w:hAnsi="Arial" w:cs="Arial"/>
        </w:rPr>
        <w:t>Heavy vehicle (together with its equipment</w:t>
      </w:r>
      <w:r w:rsidR="007E306E" w:rsidRPr="005E4F0F">
        <w:rPr>
          <w:rFonts w:ascii="Arial" w:hAnsi="Arial" w:cs="Arial"/>
        </w:rPr>
        <w:t>,</w:t>
      </w:r>
      <w:r w:rsidR="009E4056" w:rsidRPr="005E4F0F">
        <w:rPr>
          <w:rFonts w:ascii="Arial" w:hAnsi="Arial" w:cs="Arial"/>
        </w:rPr>
        <w:t xml:space="preserve"> </w:t>
      </w:r>
    </w:p>
    <w:p w14:paraId="31B34C74" w14:textId="77777777" w:rsidR="009E4056" w:rsidRPr="005E4F0F" w:rsidRDefault="006C57E0" w:rsidP="005E4F0F">
      <w:pPr>
        <w:pStyle w:val="ListParagraph"/>
        <w:numPr>
          <w:ilvl w:val="0"/>
          <w:numId w:val="18"/>
        </w:numPr>
        <w:spacing w:before="240" w:after="240" w:line="360" w:lineRule="auto"/>
        <w:ind w:left="1077" w:hanging="357"/>
        <w:contextualSpacing w:val="0"/>
        <w:rPr>
          <w:rFonts w:ascii="Arial" w:hAnsi="Arial" w:cs="Arial"/>
        </w:rPr>
      </w:pPr>
      <w:r w:rsidRPr="005E4F0F">
        <w:rPr>
          <w:rFonts w:ascii="Arial" w:hAnsi="Arial" w:cs="Arial"/>
        </w:rPr>
        <w:t>Com</w:t>
      </w:r>
      <w:r w:rsidR="009E4056" w:rsidRPr="005E4F0F">
        <w:rPr>
          <w:rFonts w:ascii="Arial" w:hAnsi="Arial" w:cs="Arial"/>
        </w:rPr>
        <w:t>ponent of a heavy vehicle</w:t>
      </w:r>
      <w:r w:rsidR="007E306E" w:rsidRPr="005E4F0F">
        <w:rPr>
          <w:rFonts w:ascii="Arial" w:hAnsi="Arial" w:cs="Arial"/>
        </w:rPr>
        <w:t>,</w:t>
      </w:r>
      <w:r w:rsidR="009E4056" w:rsidRPr="005E4F0F">
        <w:rPr>
          <w:rFonts w:ascii="Arial" w:hAnsi="Arial" w:cs="Arial"/>
        </w:rPr>
        <w:t xml:space="preserve"> or </w:t>
      </w:r>
    </w:p>
    <w:p w14:paraId="4688C2D0" w14:textId="77777777" w:rsidR="009E4056" w:rsidRPr="005E4F0F" w:rsidRDefault="006C57E0" w:rsidP="005E4F0F">
      <w:pPr>
        <w:pStyle w:val="ListParagraph"/>
        <w:numPr>
          <w:ilvl w:val="0"/>
          <w:numId w:val="18"/>
        </w:numPr>
        <w:spacing w:before="240" w:after="240" w:line="360" w:lineRule="auto"/>
        <w:ind w:left="1077" w:hanging="357"/>
        <w:contextualSpacing w:val="0"/>
        <w:rPr>
          <w:rFonts w:ascii="Arial" w:hAnsi="Arial" w:cs="Arial"/>
        </w:rPr>
      </w:pPr>
      <w:r w:rsidRPr="005E4F0F">
        <w:rPr>
          <w:rFonts w:ascii="Arial" w:hAnsi="Arial" w:cs="Arial"/>
        </w:rPr>
        <w:t>Heavy vehicle’s load</w:t>
      </w:r>
      <w:r w:rsidR="007E306E" w:rsidRPr="005E4F0F">
        <w:rPr>
          <w:rFonts w:ascii="Arial" w:hAnsi="Arial" w:cs="Arial"/>
        </w:rPr>
        <w:t>.</w:t>
      </w:r>
    </w:p>
    <w:p w14:paraId="07A67E65" w14:textId="77777777" w:rsidR="009E4056" w:rsidRPr="00054EDA" w:rsidRDefault="006C57E0" w:rsidP="00054EDA">
      <w:pPr>
        <w:spacing w:before="240" w:after="240" w:line="360" w:lineRule="auto"/>
        <w:ind w:left="360"/>
        <w:rPr>
          <w:rFonts w:ascii="Arial" w:hAnsi="Arial" w:cs="Arial"/>
        </w:rPr>
      </w:pPr>
      <w:r w:rsidRPr="00054EDA">
        <w:rPr>
          <w:rFonts w:ascii="Arial" w:hAnsi="Arial" w:cs="Arial"/>
        </w:rPr>
        <w:t xml:space="preserve">Load restraint requirements may relate to the restraint or positioning of a load or any part on a vehicle, including the restraint or positioning of a load within the freight container. </w:t>
      </w:r>
      <w:r w:rsidR="008060E8" w:rsidRPr="00054EDA">
        <w:rPr>
          <w:rFonts w:ascii="Arial" w:hAnsi="Arial" w:cs="Arial"/>
        </w:rPr>
        <w:t>John Readings</w:t>
      </w:r>
      <w:r w:rsidR="00C23F78" w:rsidRPr="00054EDA">
        <w:rPr>
          <w:rFonts w:ascii="Arial" w:hAnsi="Arial" w:cs="Arial"/>
        </w:rPr>
        <w:t xml:space="preserve"> </w:t>
      </w:r>
      <w:r w:rsidRPr="00054EDA">
        <w:rPr>
          <w:rFonts w:ascii="Arial" w:hAnsi="Arial" w:cs="Arial"/>
        </w:rPr>
        <w:t xml:space="preserve">refers to the terms and guidelines of the National Transport Commission </w:t>
      </w:r>
      <w:r w:rsidRPr="00054EDA">
        <w:rPr>
          <w:rFonts w:ascii="Arial" w:hAnsi="Arial" w:cs="Arial"/>
        </w:rPr>
        <w:lastRenderedPageBreak/>
        <w:t xml:space="preserve">(NTC) Load Restraint Guide for the performance and standards of safe carriage of loads on heavy vehicles. </w:t>
      </w:r>
    </w:p>
    <w:p w14:paraId="194B95CD" w14:textId="77777777" w:rsidR="00DB21E9" w:rsidRPr="00054EDA" w:rsidRDefault="006C57E0" w:rsidP="00054EDA">
      <w:pPr>
        <w:spacing w:before="240" w:after="240" w:line="360" w:lineRule="auto"/>
        <w:ind w:left="360"/>
        <w:rPr>
          <w:rFonts w:ascii="Arial" w:hAnsi="Arial" w:cs="Arial"/>
        </w:rPr>
      </w:pPr>
      <w:r w:rsidRPr="00054EDA">
        <w:rPr>
          <w:rFonts w:ascii="Arial" w:hAnsi="Arial" w:cs="Arial"/>
        </w:rPr>
        <w:t xml:space="preserve">All transport documentation must be accurate and not be false or misleading as far as it relates to the mass, dimension or loading of any or </w:t>
      </w:r>
      <w:proofErr w:type="gramStart"/>
      <w:r w:rsidRPr="00054EDA">
        <w:rPr>
          <w:rFonts w:ascii="Arial" w:hAnsi="Arial" w:cs="Arial"/>
        </w:rPr>
        <w:t>all of</w:t>
      </w:r>
      <w:proofErr w:type="gramEnd"/>
      <w:r w:rsidRPr="00054EDA">
        <w:rPr>
          <w:rFonts w:ascii="Arial" w:hAnsi="Arial" w:cs="Arial"/>
        </w:rPr>
        <w:t xml:space="preserve"> the goods. </w:t>
      </w:r>
    </w:p>
    <w:p w14:paraId="03BE9A4A" w14:textId="77777777" w:rsidR="006D6EF4" w:rsidRDefault="006C57E0" w:rsidP="00054EDA">
      <w:pPr>
        <w:spacing w:before="240" w:after="240" w:line="360" w:lineRule="auto"/>
        <w:ind w:left="360"/>
        <w:rPr>
          <w:rFonts w:ascii="Arial" w:hAnsi="Arial" w:cs="Arial"/>
        </w:rPr>
      </w:pPr>
      <w:r w:rsidRPr="00054EDA">
        <w:rPr>
          <w:rFonts w:ascii="Arial" w:hAnsi="Arial" w:cs="Arial"/>
        </w:rPr>
        <w:t xml:space="preserve">The primary responsibility to monitor all mass, dimensions and load restraint with respect to any heavy vehicle rests with the driver. The driver should check compliance with all mass, dimension and load restraint requirements before driving any load. </w:t>
      </w:r>
    </w:p>
    <w:p w14:paraId="4231C0EE" w14:textId="77777777" w:rsidR="00DB21E9" w:rsidRPr="00054EDA" w:rsidRDefault="006C57E0" w:rsidP="00054EDA">
      <w:pPr>
        <w:spacing w:before="240" w:after="240" w:line="360" w:lineRule="auto"/>
        <w:ind w:left="360"/>
        <w:rPr>
          <w:rFonts w:ascii="Arial" w:hAnsi="Arial" w:cs="Arial"/>
        </w:rPr>
      </w:pPr>
      <w:proofErr w:type="gramStart"/>
      <w:r w:rsidRPr="00054EDA">
        <w:rPr>
          <w:rFonts w:ascii="Arial" w:hAnsi="Arial" w:cs="Arial"/>
        </w:rPr>
        <w:t>In the event that</w:t>
      </w:r>
      <w:proofErr w:type="gramEnd"/>
      <w:r w:rsidRPr="00054EDA">
        <w:rPr>
          <w:rFonts w:ascii="Arial" w:hAnsi="Arial" w:cs="Arial"/>
        </w:rPr>
        <w:t xml:space="preserve"> the load exceeds the requirements, it is the responsibility of the driver to contact the </w:t>
      </w:r>
      <w:r w:rsidR="008060E8" w:rsidRPr="00054EDA">
        <w:rPr>
          <w:rFonts w:ascii="Arial" w:hAnsi="Arial" w:cs="Arial"/>
        </w:rPr>
        <w:t>John Readings</w:t>
      </w:r>
      <w:r w:rsidR="00C23F78" w:rsidRPr="00054EDA">
        <w:rPr>
          <w:rFonts w:ascii="Arial" w:hAnsi="Arial" w:cs="Arial"/>
        </w:rPr>
        <w:t xml:space="preserve"> </w:t>
      </w:r>
      <w:r w:rsidRPr="00054EDA">
        <w:rPr>
          <w:rFonts w:ascii="Arial" w:hAnsi="Arial" w:cs="Arial"/>
        </w:rPr>
        <w:t xml:space="preserve">base immediately. </w:t>
      </w:r>
    </w:p>
    <w:p w14:paraId="09C33F35" w14:textId="77777777" w:rsidR="00DB21E9" w:rsidRPr="00054EDA" w:rsidRDefault="00DB21E9" w:rsidP="00054EDA">
      <w:pPr>
        <w:spacing w:before="240" w:after="240" w:line="360" w:lineRule="auto"/>
        <w:ind w:left="360"/>
        <w:rPr>
          <w:rFonts w:ascii="Arial" w:hAnsi="Arial" w:cs="Arial"/>
          <w:b/>
        </w:rPr>
      </w:pPr>
      <w:r w:rsidRPr="00054EDA">
        <w:rPr>
          <w:rFonts w:ascii="Arial" w:hAnsi="Arial" w:cs="Arial"/>
          <w:b/>
        </w:rPr>
        <w:t>F</w:t>
      </w:r>
      <w:r w:rsidR="006C57E0" w:rsidRPr="00054EDA">
        <w:rPr>
          <w:rFonts w:ascii="Arial" w:hAnsi="Arial" w:cs="Arial"/>
          <w:b/>
        </w:rPr>
        <w:t xml:space="preserve">atigue and </w:t>
      </w:r>
      <w:r w:rsidR="006D6EF4">
        <w:rPr>
          <w:rFonts w:ascii="Arial" w:hAnsi="Arial" w:cs="Arial"/>
          <w:b/>
        </w:rPr>
        <w:t>s</w:t>
      </w:r>
      <w:r w:rsidR="006C57E0" w:rsidRPr="00054EDA">
        <w:rPr>
          <w:rFonts w:ascii="Arial" w:hAnsi="Arial" w:cs="Arial"/>
          <w:b/>
        </w:rPr>
        <w:t>peed</w:t>
      </w:r>
      <w:r w:rsidR="006D6EF4">
        <w:rPr>
          <w:rFonts w:ascii="Arial" w:hAnsi="Arial" w:cs="Arial"/>
          <w:b/>
        </w:rPr>
        <w:t>:</w:t>
      </w:r>
      <w:r w:rsidR="006C57E0" w:rsidRPr="00054EDA">
        <w:rPr>
          <w:rFonts w:ascii="Arial" w:hAnsi="Arial" w:cs="Arial"/>
          <w:b/>
        </w:rPr>
        <w:t xml:space="preserve"> </w:t>
      </w:r>
    </w:p>
    <w:p w14:paraId="225C9871" w14:textId="77777777" w:rsidR="00DB21E9" w:rsidRPr="00054EDA" w:rsidRDefault="008060E8" w:rsidP="00054EDA">
      <w:pPr>
        <w:spacing w:before="240" w:after="240" w:line="360" w:lineRule="auto"/>
        <w:ind w:left="360"/>
        <w:rPr>
          <w:rFonts w:ascii="Arial" w:hAnsi="Arial" w:cs="Arial"/>
        </w:rPr>
      </w:pPr>
      <w:r w:rsidRPr="00054EDA">
        <w:rPr>
          <w:rFonts w:ascii="Arial" w:hAnsi="Arial" w:cs="Arial"/>
        </w:rPr>
        <w:t>John Readings</w:t>
      </w:r>
      <w:r w:rsidR="00C23F78" w:rsidRPr="00054EDA">
        <w:rPr>
          <w:rFonts w:ascii="Arial" w:hAnsi="Arial" w:cs="Arial"/>
        </w:rPr>
        <w:t xml:space="preserve"> </w:t>
      </w:r>
      <w:r w:rsidR="006C57E0" w:rsidRPr="00054EDA">
        <w:rPr>
          <w:rFonts w:ascii="Arial" w:hAnsi="Arial" w:cs="Arial"/>
        </w:rPr>
        <w:t>will comply with fatigue r</w:t>
      </w:r>
      <w:r w:rsidR="00DB21E9" w:rsidRPr="00054EDA">
        <w:rPr>
          <w:rFonts w:ascii="Arial" w:hAnsi="Arial" w:cs="Arial"/>
        </w:rPr>
        <w:t xml:space="preserve">egulations. No driver should: </w:t>
      </w:r>
    </w:p>
    <w:p w14:paraId="5550E5C4" w14:textId="77777777" w:rsidR="00DB21E9" w:rsidRPr="00054EDA" w:rsidRDefault="006C57E0" w:rsidP="00B95E2E">
      <w:pPr>
        <w:pStyle w:val="ListParagraph"/>
        <w:numPr>
          <w:ilvl w:val="0"/>
          <w:numId w:val="19"/>
        </w:numPr>
        <w:spacing w:before="240" w:after="240" w:line="360" w:lineRule="auto"/>
        <w:ind w:left="993"/>
        <w:contextualSpacing w:val="0"/>
        <w:rPr>
          <w:rFonts w:ascii="Arial" w:hAnsi="Arial" w:cs="Arial"/>
        </w:rPr>
      </w:pPr>
      <w:r w:rsidRPr="00054EDA">
        <w:rPr>
          <w:rFonts w:ascii="Arial" w:hAnsi="Arial" w:cs="Arial"/>
        </w:rPr>
        <w:t xml:space="preserve">Drive </w:t>
      </w:r>
      <w:r w:rsidR="00DB21E9" w:rsidRPr="00054EDA">
        <w:rPr>
          <w:rFonts w:ascii="Arial" w:hAnsi="Arial" w:cs="Arial"/>
        </w:rPr>
        <w:t>while impaired by fatigue</w:t>
      </w:r>
      <w:r w:rsidR="00B95E2E">
        <w:rPr>
          <w:rFonts w:ascii="Arial" w:hAnsi="Arial" w:cs="Arial"/>
        </w:rPr>
        <w:t>,</w:t>
      </w:r>
      <w:r w:rsidR="00DB21E9" w:rsidRPr="00054EDA">
        <w:rPr>
          <w:rFonts w:ascii="Arial" w:hAnsi="Arial" w:cs="Arial"/>
        </w:rPr>
        <w:t xml:space="preserve"> or </w:t>
      </w:r>
    </w:p>
    <w:p w14:paraId="1B8B6B52" w14:textId="77777777" w:rsidR="00C23F78" w:rsidRPr="00054EDA" w:rsidRDefault="006C57E0" w:rsidP="00B95E2E">
      <w:pPr>
        <w:pStyle w:val="ListParagraph"/>
        <w:numPr>
          <w:ilvl w:val="0"/>
          <w:numId w:val="19"/>
        </w:numPr>
        <w:spacing w:before="240" w:after="240" w:line="360" w:lineRule="auto"/>
        <w:ind w:left="993"/>
        <w:contextualSpacing w:val="0"/>
        <w:rPr>
          <w:rFonts w:ascii="Arial" w:hAnsi="Arial" w:cs="Arial"/>
        </w:rPr>
      </w:pPr>
      <w:r w:rsidRPr="00054EDA">
        <w:rPr>
          <w:rFonts w:ascii="Arial" w:hAnsi="Arial" w:cs="Arial"/>
        </w:rPr>
        <w:t>Drive while in breach of another law to avoid driving while impaired by fatigue or while in breach of the driver’s work and rest hours</w:t>
      </w:r>
      <w:r w:rsidR="00B95E2E">
        <w:rPr>
          <w:rFonts w:ascii="Arial" w:hAnsi="Arial" w:cs="Arial"/>
        </w:rPr>
        <w:t>.</w:t>
      </w:r>
    </w:p>
    <w:p w14:paraId="4EA0D778" w14:textId="77777777" w:rsidR="006C57E0" w:rsidRPr="00054EDA" w:rsidRDefault="006C57E0" w:rsidP="00054EDA">
      <w:pPr>
        <w:spacing w:before="240" w:after="240" w:line="360" w:lineRule="auto"/>
        <w:ind w:left="360"/>
        <w:rPr>
          <w:rFonts w:ascii="Arial" w:hAnsi="Arial" w:cs="Arial"/>
        </w:rPr>
      </w:pPr>
      <w:r w:rsidRPr="00054EDA">
        <w:rPr>
          <w:rFonts w:ascii="Arial" w:hAnsi="Arial" w:cs="Arial"/>
        </w:rPr>
        <w:t xml:space="preserve">If any person suspects a driver is fatigued, then they </w:t>
      </w:r>
      <w:r w:rsidRPr="00054EDA">
        <w:rPr>
          <w:rFonts w:ascii="Arial" w:hAnsi="Arial" w:cs="Arial"/>
          <w:b/>
        </w:rPr>
        <w:t>MUST</w:t>
      </w:r>
      <w:r w:rsidRPr="00054EDA">
        <w:rPr>
          <w:rFonts w:ascii="Arial" w:hAnsi="Arial" w:cs="Arial"/>
        </w:rPr>
        <w:t xml:space="preserve"> ensure they contact the </w:t>
      </w:r>
      <w:r w:rsidR="008060E8" w:rsidRPr="00054EDA">
        <w:rPr>
          <w:rFonts w:ascii="Arial" w:hAnsi="Arial" w:cs="Arial"/>
        </w:rPr>
        <w:t>John Readings</w:t>
      </w:r>
      <w:r w:rsidR="00224D76" w:rsidRPr="00054EDA">
        <w:rPr>
          <w:rFonts w:ascii="Arial" w:hAnsi="Arial" w:cs="Arial"/>
        </w:rPr>
        <w:t xml:space="preserve"> </w:t>
      </w:r>
      <w:r w:rsidRPr="00054EDA">
        <w:rPr>
          <w:rFonts w:ascii="Arial" w:hAnsi="Arial" w:cs="Arial"/>
        </w:rPr>
        <w:t>Fleet Manager and or Operations Manager immediately and inform them of their concern.</w:t>
      </w:r>
    </w:p>
    <w:p w14:paraId="0B76F6A8" w14:textId="77777777" w:rsidR="00C4262A" w:rsidRPr="00054EDA" w:rsidRDefault="00DB21E9" w:rsidP="00054EDA">
      <w:pPr>
        <w:spacing w:before="240" w:after="240" w:line="360" w:lineRule="auto"/>
        <w:ind w:left="360"/>
        <w:rPr>
          <w:rFonts w:ascii="Arial" w:hAnsi="Arial" w:cs="Arial"/>
        </w:rPr>
      </w:pPr>
      <w:r w:rsidRPr="00054EDA">
        <w:rPr>
          <w:rFonts w:ascii="Arial" w:hAnsi="Arial" w:cs="Arial"/>
        </w:rPr>
        <w:t xml:space="preserve">The </w:t>
      </w:r>
      <w:r w:rsidR="00E216CD" w:rsidRPr="00054EDA">
        <w:rPr>
          <w:rFonts w:ascii="Arial" w:hAnsi="Arial" w:cs="Arial"/>
        </w:rPr>
        <w:t xml:space="preserve">fleet or operations manager </w:t>
      </w:r>
      <w:r w:rsidRPr="00054EDA">
        <w:rPr>
          <w:rFonts w:ascii="Arial" w:hAnsi="Arial" w:cs="Arial"/>
        </w:rPr>
        <w:t xml:space="preserve">will immediately contact the driver and discuss their concerns. This may lead to the decision to stand down the driver for a mandatory rest break or place the driver on a driver fatigue program. </w:t>
      </w:r>
    </w:p>
    <w:p w14:paraId="6DE13942" w14:textId="77777777" w:rsidR="00C4262A" w:rsidRPr="00054EDA" w:rsidRDefault="008060E8" w:rsidP="00054EDA">
      <w:pPr>
        <w:spacing w:before="240" w:after="240" w:line="360" w:lineRule="auto"/>
        <w:ind w:left="360"/>
        <w:rPr>
          <w:rFonts w:ascii="Arial" w:hAnsi="Arial" w:cs="Arial"/>
        </w:rPr>
      </w:pPr>
      <w:r w:rsidRPr="00054EDA">
        <w:rPr>
          <w:rFonts w:ascii="Arial" w:hAnsi="Arial" w:cs="Arial"/>
        </w:rPr>
        <w:t>John Readings</w:t>
      </w:r>
      <w:r w:rsidR="00224D76" w:rsidRPr="00054EDA">
        <w:rPr>
          <w:rFonts w:ascii="Arial" w:hAnsi="Arial" w:cs="Arial"/>
        </w:rPr>
        <w:t xml:space="preserve"> </w:t>
      </w:r>
      <w:r w:rsidR="00DB21E9" w:rsidRPr="00054EDA">
        <w:rPr>
          <w:rFonts w:ascii="Arial" w:hAnsi="Arial" w:cs="Arial"/>
        </w:rPr>
        <w:t xml:space="preserve">will not accept a higher payment for the transport of goods which will breach any fatigue or speed requirement. </w:t>
      </w:r>
    </w:p>
    <w:p w14:paraId="745E9BF3" w14:textId="77777777" w:rsidR="00C4262A" w:rsidRPr="00054EDA" w:rsidRDefault="00DB21E9" w:rsidP="00054EDA">
      <w:pPr>
        <w:spacing w:before="240" w:after="240" w:line="360" w:lineRule="auto"/>
        <w:ind w:left="360"/>
        <w:rPr>
          <w:rFonts w:ascii="Arial" w:hAnsi="Arial" w:cs="Arial"/>
        </w:rPr>
      </w:pPr>
      <w:r w:rsidRPr="00054EDA">
        <w:rPr>
          <w:rFonts w:ascii="Arial" w:hAnsi="Arial" w:cs="Arial"/>
        </w:rPr>
        <w:t xml:space="preserve">As per the HVNR a fatigue related vehicle is 12 Tonne GVM and above in NSW, QLD, VIC and SA. Fatigue related vehicles in WA are at 4.5 t GVM as per the WA Main Roads Authority and Department of Transport laws. </w:t>
      </w:r>
    </w:p>
    <w:p w14:paraId="6C91A698" w14:textId="77777777" w:rsidR="00C4262A" w:rsidRPr="00E216CD" w:rsidRDefault="00DB21E9" w:rsidP="00054EDA">
      <w:pPr>
        <w:spacing w:before="240" w:after="240" w:line="360" w:lineRule="auto"/>
        <w:ind w:left="360"/>
        <w:rPr>
          <w:rFonts w:ascii="Arial" w:hAnsi="Arial" w:cs="Arial"/>
          <w:b/>
        </w:rPr>
      </w:pPr>
      <w:r w:rsidRPr="00E216CD">
        <w:rPr>
          <w:rFonts w:ascii="Arial" w:hAnsi="Arial" w:cs="Arial"/>
          <w:b/>
        </w:rPr>
        <w:t xml:space="preserve">It is an offence for any vehicle to travel faster than the designated speed limit. Increased speed means not only an increased risk of crashing but also increased severity if a crash occurs. </w:t>
      </w:r>
    </w:p>
    <w:p w14:paraId="2AB11606" w14:textId="77777777" w:rsidR="00C4262A" w:rsidRPr="00054EDA" w:rsidRDefault="00DB21E9" w:rsidP="00054EDA">
      <w:pPr>
        <w:spacing w:before="240" w:after="240" w:line="360" w:lineRule="auto"/>
        <w:ind w:left="360"/>
        <w:rPr>
          <w:rFonts w:ascii="Arial" w:hAnsi="Arial" w:cs="Arial"/>
          <w:b/>
        </w:rPr>
      </w:pPr>
      <w:r w:rsidRPr="00054EDA">
        <w:rPr>
          <w:rFonts w:ascii="Arial" w:hAnsi="Arial" w:cs="Arial"/>
          <w:b/>
        </w:rPr>
        <w:lastRenderedPageBreak/>
        <w:t>National Heavy Vehicle Regulator</w:t>
      </w:r>
      <w:r w:rsidR="00E216CD">
        <w:rPr>
          <w:rFonts w:ascii="Arial" w:hAnsi="Arial" w:cs="Arial"/>
          <w:b/>
        </w:rPr>
        <w:t>:</w:t>
      </w:r>
      <w:r w:rsidRPr="00054EDA">
        <w:rPr>
          <w:rFonts w:ascii="Arial" w:hAnsi="Arial" w:cs="Arial"/>
          <w:b/>
        </w:rPr>
        <w:t xml:space="preserve"> </w:t>
      </w:r>
    </w:p>
    <w:p w14:paraId="66A6A0F2" w14:textId="77777777" w:rsidR="00DB21E9" w:rsidRPr="00054EDA" w:rsidRDefault="00DB21E9" w:rsidP="00054EDA">
      <w:pPr>
        <w:spacing w:before="240" w:after="240" w:line="360" w:lineRule="auto"/>
        <w:ind w:left="360"/>
        <w:rPr>
          <w:rFonts w:ascii="Arial" w:hAnsi="Arial" w:cs="Arial"/>
        </w:rPr>
      </w:pPr>
      <w:r w:rsidRPr="00054EDA">
        <w:rPr>
          <w:rFonts w:ascii="Arial" w:hAnsi="Arial" w:cs="Arial"/>
        </w:rPr>
        <w:t>The National Heavy Vehicle Regulator (NHVR) looks after one rule book for heavy vehicles over 4.5 tonnes gross vehicle mass. Refer to the below rules for each category for road safety for each state:</w:t>
      </w:r>
      <w:r w:rsidR="006B395E" w:rsidRPr="00054EDA">
        <w:rPr>
          <w:rFonts w:ascii="Arial" w:hAnsi="Arial" w:cs="Arial"/>
        </w:rPr>
        <w:t xml:space="preserve">  </w:t>
      </w:r>
    </w:p>
    <w:tbl>
      <w:tblPr>
        <w:tblStyle w:val="TableGrid"/>
        <w:tblW w:w="8991" w:type="dxa"/>
        <w:tblInd w:w="360" w:type="dxa"/>
        <w:tblLook w:val="04A0" w:firstRow="1" w:lastRow="0" w:firstColumn="1" w:lastColumn="0" w:noHBand="0" w:noVBand="1"/>
      </w:tblPr>
      <w:tblGrid>
        <w:gridCol w:w="2329"/>
        <w:gridCol w:w="1134"/>
        <w:gridCol w:w="1275"/>
        <w:gridCol w:w="1276"/>
        <w:gridCol w:w="1418"/>
        <w:gridCol w:w="1559"/>
      </w:tblGrid>
      <w:tr w:rsidR="00224D76" w:rsidRPr="00054EDA" w14:paraId="3445A28B" w14:textId="77777777" w:rsidTr="00224D76">
        <w:tc>
          <w:tcPr>
            <w:tcW w:w="2329" w:type="dxa"/>
            <w:shd w:val="clear" w:color="auto" w:fill="D9D9D9" w:themeFill="background1" w:themeFillShade="D9"/>
          </w:tcPr>
          <w:p w14:paraId="217949AB" w14:textId="77777777" w:rsidR="00710383" w:rsidRPr="00054EDA" w:rsidRDefault="00710383" w:rsidP="00054EDA">
            <w:pPr>
              <w:spacing w:before="240" w:after="240" w:line="360" w:lineRule="auto"/>
              <w:jc w:val="center"/>
              <w:rPr>
                <w:rFonts w:ascii="Arial" w:hAnsi="Arial" w:cs="Arial"/>
                <w:b/>
              </w:rPr>
            </w:pPr>
            <w:r w:rsidRPr="00054EDA">
              <w:rPr>
                <w:rFonts w:ascii="Arial" w:hAnsi="Arial" w:cs="Arial"/>
                <w:b/>
              </w:rPr>
              <w:t>RULE</w:t>
            </w:r>
          </w:p>
        </w:tc>
        <w:tc>
          <w:tcPr>
            <w:tcW w:w="1134" w:type="dxa"/>
            <w:shd w:val="clear" w:color="auto" w:fill="D9D9D9" w:themeFill="background1" w:themeFillShade="D9"/>
          </w:tcPr>
          <w:p w14:paraId="450BF239" w14:textId="77777777" w:rsidR="00710383" w:rsidRPr="00054EDA" w:rsidRDefault="00710383" w:rsidP="00054EDA">
            <w:pPr>
              <w:spacing w:before="240" w:after="240" w:line="360" w:lineRule="auto"/>
              <w:jc w:val="center"/>
              <w:rPr>
                <w:rFonts w:ascii="Arial" w:hAnsi="Arial" w:cs="Arial"/>
                <w:b/>
              </w:rPr>
            </w:pPr>
            <w:r w:rsidRPr="00054EDA">
              <w:rPr>
                <w:rFonts w:ascii="Arial" w:hAnsi="Arial" w:cs="Arial"/>
                <w:b/>
              </w:rPr>
              <w:t>NSW</w:t>
            </w:r>
          </w:p>
        </w:tc>
        <w:tc>
          <w:tcPr>
            <w:tcW w:w="1275" w:type="dxa"/>
            <w:shd w:val="clear" w:color="auto" w:fill="D9D9D9" w:themeFill="background1" w:themeFillShade="D9"/>
          </w:tcPr>
          <w:p w14:paraId="76584B05" w14:textId="77777777" w:rsidR="00710383" w:rsidRPr="00054EDA" w:rsidRDefault="00710383" w:rsidP="00054EDA">
            <w:pPr>
              <w:spacing w:before="240" w:after="240" w:line="360" w:lineRule="auto"/>
              <w:jc w:val="center"/>
              <w:rPr>
                <w:rFonts w:ascii="Arial" w:hAnsi="Arial" w:cs="Arial"/>
                <w:b/>
              </w:rPr>
            </w:pPr>
            <w:r w:rsidRPr="00054EDA">
              <w:rPr>
                <w:rFonts w:ascii="Arial" w:hAnsi="Arial" w:cs="Arial"/>
                <w:b/>
              </w:rPr>
              <w:t>VIC</w:t>
            </w:r>
          </w:p>
        </w:tc>
        <w:tc>
          <w:tcPr>
            <w:tcW w:w="1276" w:type="dxa"/>
            <w:shd w:val="clear" w:color="auto" w:fill="D9D9D9" w:themeFill="background1" w:themeFillShade="D9"/>
          </w:tcPr>
          <w:p w14:paraId="3443089C" w14:textId="77777777" w:rsidR="00710383" w:rsidRPr="00054EDA" w:rsidRDefault="00710383" w:rsidP="00054EDA">
            <w:pPr>
              <w:spacing w:before="240" w:after="240" w:line="360" w:lineRule="auto"/>
              <w:jc w:val="center"/>
              <w:rPr>
                <w:rFonts w:ascii="Arial" w:hAnsi="Arial" w:cs="Arial"/>
                <w:b/>
              </w:rPr>
            </w:pPr>
            <w:r w:rsidRPr="00054EDA">
              <w:rPr>
                <w:rFonts w:ascii="Arial" w:hAnsi="Arial" w:cs="Arial"/>
                <w:b/>
              </w:rPr>
              <w:t>QLD</w:t>
            </w:r>
          </w:p>
        </w:tc>
        <w:tc>
          <w:tcPr>
            <w:tcW w:w="1418" w:type="dxa"/>
            <w:shd w:val="clear" w:color="auto" w:fill="D9D9D9" w:themeFill="background1" w:themeFillShade="D9"/>
          </w:tcPr>
          <w:p w14:paraId="0AAE2403" w14:textId="77777777" w:rsidR="00710383" w:rsidRPr="00054EDA" w:rsidRDefault="00710383" w:rsidP="00054EDA">
            <w:pPr>
              <w:spacing w:before="240" w:after="240" w:line="360" w:lineRule="auto"/>
              <w:jc w:val="center"/>
              <w:rPr>
                <w:rFonts w:ascii="Arial" w:hAnsi="Arial" w:cs="Arial"/>
                <w:b/>
              </w:rPr>
            </w:pPr>
            <w:r w:rsidRPr="00054EDA">
              <w:rPr>
                <w:rFonts w:ascii="Arial" w:hAnsi="Arial" w:cs="Arial"/>
                <w:b/>
              </w:rPr>
              <w:t>SA</w:t>
            </w:r>
          </w:p>
        </w:tc>
        <w:tc>
          <w:tcPr>
            <w:tcW w:w="1559" w:type="dxa"/>
            <w:shd w:val="clear" w:color="auto" w:fill="D9D9D9" w:themeFill="background1" w:themeFillShade="D9"/>
          </w:tcPr>
          <w:p w14:paraId="55A84AAD" w14:textId="77777777" w:rsidR="00710383" w:rsidRPr="00054EDA" w:rsidRDefault="00710383" w:rsidP="00054EDA">
            <w:pPr>
              <w:spacing w:before="240" w:after="240" w:line="360" w:lineRule="auto"/>
              <w:jc w:val="center"/>
              <w:rPr>
                <w:rFonts w:ascii="Arial" w:hAnsi="Arial" w:cs="Arial"/>
                <w:b/>
              </w:rPr>
            </w:pPr>
            <w:r w:rsidRPr="00054EDA">
              <w:rPr>
                <w:rFonts w:ascii="Arial" w:hAnsi="Arial" w:cs="Arial"/>
                <w:b/>
              </w:rPr>
              <w:t>WA</w:t>
            </w:r>
          </w:p>
        </w:tc>
      </w:tr>
      <w:tr w:rsidR="00710383" w:rsidRPr="00054EDA" w14:paraId="29C33FE4" w14:textId="77777777" w:rsidTr="00224D76">
        <w:tc>
          <w:tcPr>
            <w:tcW w:w="2329" w:type="dxa"/>
          </w:tcPr>
          <w:p w14:paraId="6E798436" w14:textId="77777777" w:rsidR="00710383" w:rsidRPr="00054EDA" w:rsidRDefault="003D1BA8" w:rsidP="00054EDA">
            <w:pPr>
              <w:spacing w:before="240" w:after="240" w:line="360" w:lineRule="auto"/>
              <w:rPr>
                <w:rFonts w:ascii="Arial" w:hAnsi="Arial" w:cs="Arial"/>
              </w:rPr>
            </w:pPr>
            <w:r w:rsidRPr="00054EDA">
              <w:rPr>
                <w:rFonts w:ascii="Arial" w:hAnsi="Arial" w:cs="Arial"/>
              </w:rPr>
              <w:t>Heavy vehicle classification</w:t>
            </w:r>
          </w:p>
        </w:tc>
        <w:tc>
          <w:tcPr>
            <w:tcW w:w="1134" w:type="dxa"/>
          </w:tcPr>
          <w:p w14:paraId="46D20407" w14:textId="77777777" w:rsidR="00710383" w:rsidRPr="00054EDA" w:rsidRDefault="008D027A"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c>
          <w:tcPr>
            <w:tcW w:w="1275" w:type="dxa"/>
          </w:tcPr>
          <w:p w14:paraId="01F1567D" w14:textId="77777777" w:rsidR="00710383" w:rsidRPr="00054EDA" w:rsidRDefault="008D027A"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c>
          <w:tcPr>
            <w:tcW w:w="1276" w:type="dxa"/>
          </w:tcPr>
          <w:p w14:paraId="228FBA00" w14:textId="77777777" w:rsidR="00710383" w:rsidRPr="00054EDA" w:rsidRDefault="008D027A"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c>
          <w:tcPr>
            <w:tcW w:w="1418" w:type="dxa"/>
          </w:tcPr>
          <w:p w14:paraId="7EDF5B81" w14:textId="77777777" w:rsidR="00710383" w:rsidRPr="00054EDA" w:rsidRDefault="008D027A"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c>
          <w:tcPr>
            <w:tcW w:w="1559" w:type="dxa"/>
          </w:tcPr>
          <w:p w14:paraId="59C65BF9" w14:textId="77777777" w:rsidR="00710383" w:rsidRPr="00054EDA" w:rsidRDefault="00A613F6"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r>
      <w:tr w:rsidR="00710383" w:rsidRPr="00054EDA" w14:paraId="4611BF37" w14:textId="77777777" w:rsidTr="00224D76">
        <w:tc>
          <w:tcPr>
            <w:tcW w:w="2329" w:type="dxa"/>
          </w:tcPr>
          <w:p w14:paraId="4276DEE7" w14:textId="77777777" w:rsidR="00710383" w:rsidRPr="00054EDA" w:rsidRDefault="0012636C" w:rsidP="00054EDA">
            <w:pPr>
              <w:spacing w:before="240" w:after="240" w:line="360" w:lineRule="auto"/>
              <w:rPr>
                <w:rFonts w:ascii="Arial" w:hAnsi="Arial" w:cs="Arial"/>
              </w:rPr>
            </w:pPr>
            <w:r w:rsidRPr="00145DBC">
              <w:rPr>
                <w:rFonts w:ascii="Arial" w:hAnsi="Arial" w:cs="Arial"/>
              </w:rPr>
              <w:t>Fatigue related to</w:t>
            </w:r>
            <w:r w:rsidR="00145DBC" w:rsidRPr="00145DBC">
              <w:rPr>
                <w:rFonts w:ascii="Arial" w:hAnsi="Arial" w:cs="Arial"/>
              </w:rPr>
              <w:t>:</w:t>
            </w:r>
            <w:r w:rsidRPr="00054EDA">
              <w:rPr>
                <w:rFonts w:ascii="Arial" w:hAnsi="Arial" w:cs="Arial"/>
              </w:rPr>
              <w:t xml:space="preserve"> </w:t>
            </w:r>
          </w:p>
          <w:p w14:paraId="65520BEC" w14:textId="77777777" w:rsidR="0012636C" w:rsidRPr="00054EDA" w:rsidRDefault="0012636C" w:rsidP="00054EDA">
            <w:pPr>
              <w:spacing w:before="240" w:after="240" w:line="360" w:lineRule="auto"/>
              <w:rPr>
                <w:rFonts w:ascii="Arial" w:hAnsi="Arial" w:cs="Arial"/>
              </w:rPr>
            </w:pPr>
            <w:r w:rsidRPr="00054EDA">
              <w:rPr>
                <w:rFonts w:ascii="Arial" w:hAnsi="Arial" w:cs="Arial"/>
              </w:rPr>
              <w:t>Fatigue regulated heavy vehicles</w:t>
            </w:r>
          </w:p>
        </w:tc>
        <w:tc>
          <w:tcPr>
            <w:tcW w:w="1134" w:type="dxa"/>
          </w:tcPr>
          <w:p w14:paraId="17A04BEE" w14:textId="77777777" w:rsidR="00710383" w:rsidRPr="00054EDA" w:rsidRDefault="00A83D15" w:rsidP="00054EDA">
            <w:pPr>
              <w:spacing w:before="240" w:after="240" w:line="360" w:lineRule="auto"/>
              <w:rPr>
                <w:rFonts w:ascii="Arial" w:hAnsi="Arial" w:cs="Arial"/>
              </w:rPr>
            </w:pPr>
            <w:r w:rsidRPr="00054EDA">
              <w:rPr>
                <w:rFonts w:ascii="Arial" w:hAnsi="Arial" w:cs="Arial"/>
              </w:rPr>
              <w:t>=&gt;12 t GVM</w:t>
            </w:r>
          </w:p>
        </w:tc>
        <w:tc>
          <w:tcPr>
            <w:tcW w:w="1275" w:type="dxa"/>
          </w:tcPr>
          <w:p w14:paraId="7B8DB237" w14:textId="77777777" w:rsidR="00710383" w:rsidRPr="00054EDA" w:rsidRDefault="00A83D15" w:rsidP="00054EDA">
            <w:pPr>
              <w:spacing w:before="240" w:after="240" w:line="360" w:lineRule="auto"/>
              <w:rPr>
                <w:rFonts w:ascii="Arial" w:hAnsi="Arial" w:cs="Arial"/>
              </w:rPr>
            </w:pPr>
            <w:r w:rsidRPr="00054EDA">
              <w:rPr>
                <w:rFonts w:ascii="Arial" w:hAnsi="Arial" w:cs="Arial"/>
              </w:rPr>
              <w:t>=&gt;12 t GVM</w:t>
            </w:r>
          </w:p>
        </w:tc>
        <w:tc>
          <w:tcPr>
            <w:tcW w:w="1276" w:type="dxa"/>
          </w:tcPr>
          <w:p w14:paraId="05FAD022" w14:textId="77777777" w:rsidR="00710383" w:rsidRPr="00054EDA" w:rsidRDefault="00A83D15" w:rsidP="00054EDA">
            <w:pPr>
              <w:spacing w:before="240" w:after="240" w:line="360" w:lineRule="auto"/>
              <w:rPr>
                <w:rFonts w:ascii="Arial" w:hAnsi="Arial" w:cs="Arial"/>
              </w:rPr>
            </w:pPr>
            <w:r w:rsidRPr="00054EDA">
              <w:rPr>
                <w:rFonts w:ascii="Arial" w:hAnsi="Arial" w:cs="Arial"/>
              </w:rPr>
              <w:t>=&gt;12 t GVM</w:t>
            </w:r>
          </w:p>
        </w:tc>
        <w:tc>
          <w:tcPr>
            <w:tcW w:w="1418" w:type="dxa"/>
          </w:tcPr>
          <w:p w14:paraId="020F6E6A" w14:textId="77777777" w:rsidR="00710383" w:rsidRPr="00054EDA" w:rsidRDefault="00A83D15" w:rsidP="00054EDA">
            <w:pPr>
              <w:spacing w:before="240" w:after="240" w:line="360" w:lineRule="auto"/>
              <w:rPr>
                <w:rFonts w:ascii="Arial" w:hAnsi="Arial" w:cs="Arial"/>
              </w:rPr>
            </w:pPr>
            <w:r w:rsidRPr="00054EDA">
              <w:rPr>
                <w:rFonts w:ascii="Arial" w:hAnsi="Arial" w:cs="Arial"/>
              </w:rPr>
              <w:t>=&gt;12 t GVM</w:t>
            </w:r>
          </w:p>
        </w:tc>
        <w:tc>
          <w:tcPr>
            <w:tcW w:w="1559" w:type="dxa"/>
          </w:tcPr>
          <w:p w14:paraId="250B859E" w14:textId="77777777" w:rsidR="00710383" w:rsidRPr="00054EDA" w:rsidRDefault="00A613F6" w:rsidP="00054EDA">
            <w:pPr>
              <w:spacing w:before="240" w:after="240" w:line="360" w:lineRule="auto"/>
              <w:rPr>
                <w:rFonts w:ascii="Arial" w:hAnsi="Arial" w:cs="Arial"/>
              </w:rPr>
            </w:pPr>
            <w:r w:rsidRPr="00054EDA">
              <w:rPr>
                <w:rFonts w:ascii="Arial" w:hAnsi="Arial" w:cs="Arial"/>
              </w:rPr>
              <w:t>=&gt;4.5 t GVM</w:t>
            </w:r>
          </w:p>
        </w:tc>
      </w:tr>
      <w:tr w:rsidR="00710383" w:rsidRPr="00054EDA" w14:paraId="2A109083" w14:textId="77777777" w:rsidTr="00224D76">
        <w:tc>
          <w:tcPr>
            <w:tcW w:w="2329" w:type="dxa"/>
          </w:tcPr>
          <w:p w14:paraId="31E17008" w14:textId="77777777" w:rsidR="00710383" w:rsidRPr="00054EDA" w:rsidRDefault="0012636C" w:rsidP="00054EDA">
            <w:pPr>
              <w:spacing w:before="240" w:after="240" w:line="360" w:lineRule="auto"/>
              <w:rPr>
                <w:rFonts w:ascii="Arial" w:hAnsi="Arial" w:cs="Arial"/>
              </w:rPr>
            </w:pPr>
            <w:r w:rsidRPr="00054EDA">
              <w:rPr>
                <w:rFonts w:ascii="Arial" w:hAnsi="Arial" w:cs="Arial"/>
              </w:rPr>
              <w:t xml:space="preserve">Speed, </w:t>
            </w:r>
            <w:r w:rsidR="00860CCE" w:rsidRPr="00054EDA">
              <w:rPr>
                <w:rFonts w:ascii="Arial" w:hAnsi="Arial" w:cs="Arial"/>
              </w:rPr>
              <w:t>mass, dimensions, load restraint laws</w:t>
            </w:r>
          </w:p>
        </w:tc>
        <w:tc>
          <w:tcPr>
            <w:tcW w:w="1134" w:type="dxa"/>
          </w:tcPr>
          <w:p w14:paraId="3093AE96" w14:textId="77777777" w:rsidR="00710383" w:rsidRPr="00054EDA" w:rsidRDefault="008D027A"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c>
          <w:tcPr>
            <w:tcW w:w="1275" w:type="dxa"/>
          </w:tcPr>
          <w:p w14:paraId="2C9D7581" w14:textId="77777777" w:rsidR="00710383" w:rsidRPr="00054EDA" w:rsidRDefault="008D027A"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c>
          <w:tcPr>
            <w:tcW w:w="1276" w:type="dxa"/>
          </w:tcPr>
          <w:p w14:paraId="2FB19481" w14:textId="77777777" w:rsidR="00710383" w:rsidRPr="00054EDA" w:rsidRDefault="008D027A"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c>
          <w:tcPr>
            <w:tcW w:w="1418" w:type="dxa"/>
          </w:tcPr>
          <w:p w14:paraId="4A9AED02" w14:textId="77777777" w:rsidR="00710383" w:rsidRPr="00054EDA" w:rsidRDefault="008D027A"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c>
          <w:tcPr>
            <w:tcW w:w="1559" w:type="dxa"/>
          </w:tcPr>
          <w:p w14:paraId="34833EE4" w14:textId="77777777" w:rsidR="00710383" w:rsidRPr="00054EDA" w:rsidRDefault="00A613F6" w:rsidP="00054EDA">
            <w:pPr>
              <w:spacing w:before="240" w:after="240" w:line="360" w:lineRule="auto"/>
              <w:rPr>
                <w:rFonts w:ascii="Arial" w:hAnsi="Arial" w:cs="Arial"/>
              </w:rPr>
            </w:pPr>
            <w:r w:rsidRPr="00054EDA">
              <w:rPr>
                <w:rFonts w:ascii="Arial" w:hAnsi="Arial" w:cs="Arial"/>
              </w:rPr>
              <w:t>=&gt;4.5 t GVM</w:t>
            </w:r>
          </w:p>
        </w:tc>
      </w:tr>
      <w:tr w:rsidR="00710383" w:rsidRPr="00054EDA" w14:paraId="05F5A2D8" w14:textId="77777777" w:rsidTr="00224D76">
        <w:tc>
          <w:tcPr>
            <w:tcW w:w="2329" w:type="dxa"/>
          </w:tcPr>
          <w:p w14:paraId="5884C9B4" w14:textId="77777777" w:rsidR="00710383" w:rsidRPr="00054EDA" w:rsidRDefault="0012636C" w:rsidP="00054EDA">
            <w:pPr>
              <w:spacing w:before="240" w:after="240" w:line="360" w:lineRule="auto"/>
              <w:rPr>
                <w:rFonts w:ascii="Arial" w:hAnsi="Arial" w:cs="Arial"/>
              </w:rPr>
            </w:pPr>
            <w:r w:rsidRPr="00054EDA">
              <w:rPr>
                <w:rFonts w:ascii="Arial" w:hAnsi="Arial" w:cs="Arial"/>
              </w:rPr>
              <w:t>Maintenance to vehicle standards</w:t>
            </w:r>
          </w:p>
        </w:tc>
        <w:tc>
          <w:tcPr>
            <w:tcW w:w="1134" w:type="dxa"/>
          </w:tcPr>
          <w:p w14:paraId="793AEF9B" w14:textId="77777777" w:rsidR="00710383" w:rsidRPr="00054EDA" w:rsidRDefault="008D027A"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c>
          <w:tcPr>
            <w:tcW w:w="1275" w:type="dxa"/>
          </w:tcPr>
          <w:p w14:paraId="6506F8C1" w14:textId="77777777" w:rsidR="00710383" w:rsidRPr="00054EDA" w:rsidRDefault="008D027A"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c>
          <w:tcPr>
            <w:tcW w:w="1276" w:type="dxa"/>
          </w:tcPr>
          <w:p w14:paraId="5781F03C" w14:textId="77777777" w:rsidR="00710383" w:rsidRPr="00054EDA" w:rsidRDefault="008D027A"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c>
          <w:tcPr>
            <w:tcW w:w="1418" w:type="dxa"/>
          </w:tcPr>
          <w:p w14:paraId="2EEA0BC2" w14:textId="77777777" w:rsidR="00710383" w:rsidRPr="00054EDA" w:rsidRDefault="008D027A" w:rsidP="00054EDA">
            <w:pPr>
              <w:spacing w:before="240" w:after="240" w:line="360" w:lineRule="auto"/>
              <w:rPr>
                <w:rFonts w:ascii="Arial" w:hAnsi="Arial" w:cs="Arial"/>
              </w:rPr>
            </w:pPr>
            <w:r w:rsidRPr="00054EDA">
              <w:rPr>
                <w:rFonts w:ascii="Arial" w:hAnsi="Arial" w:cs="Arial"/>
              </w:rPr>
              <w:t>=&gt;4.5</w:t>
            </w:r>
            <w:r w:rsidR="00A83D15" w:rsidRPr="00054EDA">
              <w:rPr>
                <w:rFonts w:ascii="Arial" w:hAnsi="Arial" w:cs="Arial"/>
              </w:rPr>
              <w:t xml:space="preserve"> </w:t>
            </w:r>
            <w:r w:rsidRPr="00054EDA">
              <w:rPr>
                <w:rFonts w:ascii="Arial" w:hAnsi="Arial" w:cs="Arial"/>
              </w:rPr>
              <w:t>t GVM</w:t>
            </w:r>
          </w:p>
        </w:tc>
        <w:tc>
          <w:tcPr>
            <w:tcW w:w="1559" w:type="dxa"/>
          </w:tcPr>
          <w:p w14:paraId="63D1E2C6" w14:textId="77777777" w:rsidR="00710383" w:rsidRPr="00054EDA" w:rsidRDefault="00F33810" w:rsidP="00054EDA">
            <w:pPr>
              <w:spacing w:before="240" w:after="240" w:line="360" w:lineRule="auto"/>
              <w:rPr>
                <w:rFonts w:ascii="Arial" w:hAnsi="Arial" w:cs="Arial"/>
              </w:rPr>
            </w:pPr>
            <w:r w:rsidRPr="00054EDA">
              <w:rPr>
                <w:rFonts w:ascii="Arial" w:hAnsi="Arial" w:cs="Arial"/>
              </w:rPr>
              <w:t>=&gt;4.5 t GVM</w:t>
            </w:r>
          </w:p>
        </w:tc>
      </w:tr>
      <w:tr w:rsidR="00710383" w:rsidRPr="00054EDA" w14:paraId="1866C591" w14:textId="77777777" w:rsidTr="00224D76">
        <w:tc>
          <w:tcPr>
            <w:tcW w:w="2329" w:type="dxa"/>
          </w:tcPr>
          <w:p w14:paraId="3B74F4F0" w14:textId="77777777" w:rsidR="00710383" w:rsidRPr="00054EDA" w:rsidRDefault="0012636C" w:rsidP="00054EDA">
            <w:pPr>
              <w:spacing w:before="240" w:after="240" w:line="360" w:lineRule="auto"/>
              <w:rPr>
                <w:rFonts w:ascii="Arial" w:hAnsi="Arial" w:cs="Arial"/>
              </w:rPr>
            </w:pPr>
            <w:r w:rsidRPr="00054EDA">
              <w:rPr>
                <w:rFonts w:ascii="Arial" w:hAnsi="Arial" w:cs="Arial"/>
              </w:rPr>
              <w:t>Work diaries required (outside 100km from base/home)</w:t>
            </w:r>
          </w:p>
        </w:tc>
        <w:tc>
          <w:tcPr>
            <w:tcW w:w="1134" w:type="dxa"/>
          </w:tcPr>
          <w:p w14:paraId="10E56512" w14:textId="77777777" w:rsidR="00710383" w:rsidRPr="00054EDA" w:rsidRDefault="00CF4E23" w:rsidP="00054EDA">
            <w:pPr>
              <w:spacing w:before="240" w:after="240" w:line="360" w:lineRule="auto"/>
              <w:rPr>
                <w:rFonts w:ascii="Arial" w:hAnsi="Arial" w:cs="Arial"/>
              </w:rPr>
            </w:pPr>
            <w:r w:rsidRPr="00054EDA">
              <w:rPr>
                <w:rFonts w:ascii="Arial" w:hAnsi="Arial" w:cs="Arial"/>
              </w:rPr>
              <w:t>=&gt;12 t GVM</w:t>
            </w:r>
          </w:p>
        </w:tc>
        <w:tc>
          <w:tcPr>
            <w:tcW w:w="1275" w:type="dxa"/>
          </w:tcPr>
          <w:p w14:paraId="4B631AC3" w14:textId="77777777" w:rsidR="00710383" w:rsidRPr="00054EDA" w:rsidRDefault="00CF4E23" w:rsidP="00054EDA">
            <w:pPr>
              <w:spacing w:before="240" w:after="240" w:line="360" w:lineRule="auto"/>
              <w:rPr>
                <w:rFonts w:ascii="Arial" w:hAnsi="Arial" w:cs="Arial"/>
              </w:rPr>
            </w:pPr>
            <w:r w:rsidRPr="00054EDA">
              <w:rPr>
                <w:rFonts w:ascii="Arial" w:hAnsi="Arial" w:cs="Arial"/>
              </w:rPr>
              <w:t>=&gt;12 t GVM</w:t>
            </w:r>
          </w:p>
        </w:tc>
        <w:tc>
          <w:tcPr>
            <w:tcW w:w="1276" w:type="dxa"/>
          </w:tcPr>
          <w:p w14:paraId="34067FA9" w14:textId="77777777" w:rsidR="00710383" w:rsidRPr="00054EDA" w:rsidRDefault="00CF4E23" w:rsidP="00054EDA">
            <w:pPr>
              <w:spacing w:before="240" w:after="240" w:line="360" w:lineRule="auto"/>
              <w:rPr>
                <w:rFonts w:ascii="Arial" w:hAnsi="Arial" w:cs="Arial"/>
              </w:rPr>
            </w:pPr>
            <w:r w:rsidRPr="00054EDA">
              <w:rPr>
                <w:rFonts w:ascii="Arial" w:hAnsi="Arial" w:cs="Arial"/>
              </w:rPr>
              <w:t>=&gt;12 t GVM</w:t>
            </w:r>
          </w:p>
        </w:tc>
        <w:tc>
          <w:tcPr>
            <w:tcW w:w="1418" w:type="dxa"/>
          </w:tcPr>
          <w:p w14:paraId="785C418B" w14:textId="77777777" w:rsidR="00710383" w:rsidRPr="00054EDA" w:rsidRDefault="00CF4E23" w:rsidP="00054EDA">
            <w:pPr>
              <w:spacing w:before="240" w:after="240" w:line="360" w:lineRule="auto"/>
              <w:rPr>
                <w:rFonts w:ascii="Arial" w:hAnsi="Arial" w:cs="Arial"/>
              </w:rPr>
            </w:pPr>
            <w:r w:rsidRPr="00054EDA">
              <w:rPr>
                <w:rFonts w:ascii="Arial" w:hAnsi="Arial" w:cs="Arial"/>
              </w:rPr>
              <w:t>=&gt;12 t GVM</w:t>
            </w:r>
          </w:p>
        </w:tc>
        <w:tc>
          <w:tcPr>
            <w:tcW w:w="1559" w:type="dxa"/>
          </w:tcPr>
          <w:p w14:paraId="064B78D2" w14:textId="77777777" w:rsidR="00710383" w:rsidRPr="00054EDA" w:rsidRDefault="00F33810" w:rsidP="00054EDA">
            <w:pPr>
              <w:spacing w:before="240" w:after="240" w:line="360" w:lineRule="auto"/>
              <w:rPr>
                <w:rFonts w:ascii="Arial" w:hAnsi="Arial" w:cs="Arial"/>
              </w:rPr>
            </w:pPr>
            <w:r w:rsidRPr="00054EDA">
              <w:rPr>
                <w:rFonts w:ascii="Arial" w:hAnsi="Arial" w:cs="Arial"/>
              </w:rPr>
              <w:t>=&gt;12 t GVM Only required if transporting interstate</w:t>
            </w:r>
          </w:p>
        </w:tc>
      </w:tr>
      <w:tr w:rsidR="00710383" w:rsidRPr="00054EDA" w14:paraId="12FF1E1E" w14:textId="77777777" w:rsidTr="00224D76">
        <w:tc>
          <w:tcPr>
            <w:tcW w:w="2329" w:type="dxa"/>
          </w:tcPr>
          <w:p w14:paraId="39B604C6" w14:textId="77777777" w:rsidR="00710383" w:rsidRPr="00054EDA" w:rsidRDefault="0012636C" w:rsidP="00054EDA">
            <w:pPr>
              <w:spacing w:before="240" w:after="240" w:line="360" w:lineRule="auto"/>
              <w:rPr>
                <w:rFonts w:ascii="Arial" w:hAnsi="Arial" w:cs="Arial"/>
              </w:rPr>
            </w:pPr>
            <w:r w:rsidRPr="00054EDA">
              <w:rPr>
                <w:rFonts w:ascii="Arial" w:hAnsi="Arial" w:cs="Arial"/>
              </w:rPr>
              <w:t xml:space="preserve">Speed limiters - </w:t>
            </w:r>
          </w:p>
          <w:p w14:paraId="16E1E325" w14:textId="77777777" w:rsidR="0012636C" w:rsidRPr="00054EDA" w:rsidRDefault="0012636C" w:rsidP="00054EDA">
            <w:pPr>
              <w:spacing w:before="240" w:after="240" w:line="360" w:lineRule="auto"/>
              <w:rPr>
                <w:rFonts w:ascii="Arial" w:hAnsi="Arial" w:cs="Arial"/>
              </w:rPr>
            </w:pPr>
            <w:r w:rsidRPr="00054EDA">
              <w:rPr>
                <w:rFonts w:ascii="Arial" w:hAnsi="Arial" w:cs="Arial"/>
              </w:rPr>
              <w:t xml:space="preserve">Australian design rules ADR65 applicable to all vehicles over 12 </w:t>
            </w:r>
            <w:r w:rsidRPr="00054EDA">
              <w:rPr>
                <w:rFonts w:ascii="Arial" w:hAnsi="Arial" w:cs="Arial"/>
              </w:rPr>
              <w:lastRenderedPageBreak/>
              <w:t>tonne GVM manufactured after 1991</w:t>
            </w:r>
          </w:p>
        </w:tc>
        <w:tc>
          <w:tcPr>
            <w:tcW w:w="1134" w:type="dxa"/>
          </w:tcPr>
          <w:p w14:paraId="72D3B34B" w14:textId="77777777" w:rsidR="00710383" w:rsidRPr="00054EDA" w:rsidRDefault="00CF4E23" w:rsidP="00054EDA">
            <w:pPr>
              <w:spacing w:before="240" w:after="240" w:line="360" w:lineRule="auto"/>
              <w:rPr>
                <w:rFonts w:ascii="Arial" w:hAnsi="Arial" w:cs="Arial"/>
              </w:rPr>
            </w:pPr>
            <w:r w:rsidRPr="00054EDA">
              <w:rPr>
                <w:rFonts w:ascii="Arial" w:hAnsi="Arial" w:cs="Arial"/>
              </w:rPr>
              <w:lastRenderedPageBreak/>
              <w:t>=&gt;12 t GVM</w:t>
            </w:r>
          </w:p>
        </w:tc>
        <w:tc>
          <w:tcPr>
            <w:tcW w:w="1275" w:type="dxa"/>
          </w:tcPr>
          <w:p w14:paraId="3E922E92" w14:textId="77777777" w:rsidR="00710383" w:rsidRPr="00054EDA" w:rsidRDefault="00CF4E23" w:rsidP="00054EDA">
            <w:pPr>
              <w:spacing w:before="240" w:after="240" w:line="360" w:lineRule="auto"/>
              <w:rPr>
                <w:rFonts w:ascii="Arial" w:hAnsi="Arial" w:cs="Arial"/>
              </w:rPr>
            </w:pPr>
            <w:r w:rsidRPr="00054EDA">
              <w:rPr>
                <w:rFonts w:ascii="Arial" w:hAnsi="Arial" w:cs="Arial"/>
              </w:rPr>
              <w:t xml:space="preserve">Not required </w:t>
            </w:r>
            <w:r w:rsidRPr="00054EDA">
              <w:rPr>
                <w:rFonts w:ascii="Arial" w:hAnsi="Arial" w:cs="Arial"/>
                <w:u w:val="single"/>
              </w:rPr>
              <w:t>but</w:t>
            </w:r>
            <w:r w:rsidRPr="00054EDA">
              <w:rPr>
                <w:rFonts w:ascii="Arial" w:hAnsi="Arial" w:cs="Arial"/>
              </w:rPr>
              <w:t xml:space="preserve"> 100klm ph </w:t>
            </w:r>
            <w:r w:rsidRPr="00054EDA">
              <w:rPr>
                <w:rFonts w:ascii="Arial" w:hAnsi="Arial" w:cs="Arial"/>
              </w:rPr>
              <w:lastRenderedPageBreak/>
              <w:t>limit for HV’s</w:t>
            </w:r>
          </w:p>
        </w:tc>
        <w:tc>
          <w:tcPr>
            <w:tcW w:w="1276" w:type="dxa"/>
          </w:tcPr>
          <w:p w14:paraId="0911674A" w14:textId="77777777" w:rsidR="00710383" w:rsidRPr="00054EDA" w:rsidRDefault="00CF4E23" w:rsidP="00054EDA">
            <w:pPr>
              <w:spacing w:before="240" w:after="240" w:line="360" w:lineRule="auto"/>
              <w:rPr>
                <w:rFonts w:ascii="Arial" w:hAnsi="Arial" w:cs="Arial"/>
              </w:rPr>
            </w:pPr>
            <w:r w:rsidRPr="00054EDA">
              <w:rPr>
                <w:rFonts w:ascii="Arial" w:hAnsi="Arial" w:cs="Arial"/>
              </w:rPr>
              <w:lastRenderedPageBreak/>
              <w:t>=&gt;12 t GVM</w:t>
            </w:r>
          </w:p>
        </w:tc>
        <w:tc>
          <w:tcPr>
            <w:tcW w:w="1418" w:type="dxa"/>
          </w:tcPr>
          <w:p w14:paraId="7BB449F6" w14:textId="77777777" w:rsidR="00710383" w:rsidRPr="00054EDA" w:rsidRDefault="00CF4E23" w:rsidP="00054EDA">
            <w:pPr>
              <w:spacing w:before="240" w:after="240" w:line="360" w:lineRule="auto"/>
              <w:rPr>
                <w:rFonts w:ascii="Arial" w:hAnsi="Arial" w:cs="Arial"/>
              </w:rPr>
            </w:pPr>
            <w:r w:rsidRPr="00054EDA">
              <w:rPr>
                <w:rFonts w:ascii="Arial" w:hAnsi="Arial" w:cs="Arial"/>
              </w:rPr>
              <w:t xml:space="preserve">Not required </w:t>
            </w:r>
            <w:r w:rsidRPr="00054EDA">
              <w:rPr>
                <w:rFonts w:ascii="Arial" w:hAnsi="Arial" w:cs="Arial"/>
                <w:u w:val="single"/>
              </w:rPr>
              <w:t>but</w:t>
            </w:r>
            <w:r w:rsidRPr="00054EDA">
              <w:rPr>
                <w:rFonts w:ascii="Arial" w:hAnsi="Arial" w:cs="Arial"/>
              </w:rPr>
              <w:t xml:space="preserve"> 100klm ph limit for HV’s</w:t>
            </w:r>
          </w:p>
        </w:tc>
        <w:tc>
          <w:tcPr>
            <w:tcW w:w="1559" w:type="dxa"/>
          </w:tcPr>
          <w:p w14:paraId="4E865887" w14:textId="77777777" w:rsidR="00710383" w:rsidRPr="00054EDA" w:rsidRDefault="00F33810" w:rsidP="00054EDA">
            <w:pPr>
              <w:spacing w:before="240" w:after="240" w:line="360" w:lineRule="auto"/>
              <w:rPr>
                <w:rFonts w:ascii="Arial" w:hAnsi="Arial" w:cs="Arial"/>
              </w:rPr>
            </w:pPr>
            <w:r w:rsidRPr="00054EDA">
              <w:rPr>
                <w:rFonts w:ascii="Arial" w:hAnsi="Arial" w:cs="Arial"/>
              </w:rPr>
              <w:t xml:space="preserve">Not required </w:t>
            </w:r>
            <w:r w:rsidRPr="00054EDA">
              <w:rPr>
                <w:rFonts w:ascii="Arial" w:hAnsi="Arial" w:cs="Arial"/>
                <w:u w:val="single"/>
              </w:rPr>
              <w:t>but</w:t>
            </w:r>
            <w:r w:rsidRPr="00054EDA">
              <w:rPr>
                <w:rFonts w:ascii="Arial" w:hAnsi="Arial" w:cs="Arial"/>
              </w:rPr>
              <w:t xml:space="preserve"> 100klm ph limit for HV’s</w:t>
            </w:r>
          </w:p>
        </w:tc>
      </w:tr>
    </w:tbl>
    <w:p w14:paraId="60332E07" w14:textId="77777777" w:rsidR="00C867FC" w:rsidRPr="00054EDA" w:rsidRDefault="00C867FC" w:rsidP="00054EDA">
      <w:pPr>
        <w:spacing w:before="240" w:after="240" w:line="360" w:lineRule="auto"/>
        <w:ind w:left="360"/>
        <w:rPr>
          <w:rFonts w:ascii="Arial" w:hAnsi="Arial" w:cs="Arial"/>
          <w:b/>
        </w:rPr>
      </w:pPr>
      <w:r w:rsidRPr="00054EDA">
        <w:rPr>
          <w:rFonts w:ascii="Arial" w:hAnsi="Arial" w:cs="Arial"/>
          <w:b/>
        </w:rPr>
        <w:t xml:space="preserve">Rest breaks </w:t>
      </w:r>
      <w:r w:rsidR="00FC2225" w:rsidRPr="00054EDA">
        <w:rPr>
          <w:rFonts w:ascii="Arial" w:hAnsi="Arial" w:cs="Arial"/>
          <w:b/>
        </w:rPr>
        <w:t>for all heavy vehicles</w:t>
      </w:r>
      <w:r w:rsidR="00FC2225">
        <w:rPr>
          <w:rFonts w:ascii="Arial" w:hAnsi="Arial" w:cs="Arial"/>
          <w:b/>
        </w:rPr>
        <w:t>:</w:t>
      </w:r>
      <w:r w:rsidR="00FC2225" w:rsidRPr="00054EDA">
        <w:rPr>
          <w:rFonts w:ascii="Arial" w:hAnsi="Arial" w:cs="Arial"/>
          <w:b/>
        </w:rPr>
        <w:t xml:space="preserve"> </w:t>
      </w:r>
    </w:p>
    <w:p w14:paraId="2679A72C" w14:textId="77777777" w:rsidR="004D0CBB" w:rsidRPr="00054EDA" w:rsidRDefault="00C867FC" w:rsidP="00054EDA">
      <w:pPr>
        <w:spacing w:before="240" w:after="240" w:line="360" w:lineRule="auto"/>
        <w:ind w:left="360"/>
        <w:rPr>
          <w:rFonts w:ascii="Arial" w:hAnsi="Arial" w:cs="Arial"/>
        </w:rPr>
      </w:pPr>
      <w:r w:rsidRPr="00054EDA">
        <w:rPr>
          <w:rFonts w:ascii="Arial" w:hAnsi="Arial" w:cs="Arial"/>
        </w:rPr>
        <w:t xml:space="preserve">The National Heavy Vehicle Law states that a rest break for all heavy vehicle drivers must be taken after </w:t>
      </w:r>
      <w:r w:rsidR="00111499">
        <w:rPr>
          <w:rFonts w:ascii="Arial" w:hAnsi="Arial" w:cs="Arial"/>
        </w:rPr>
        <w:t>five</w:t>
      </w:r>
      <w:r w:rsidRPr="00054EDA">
        <w:rPr>
          <w:rFonts w:ascii="Arial" w:hAnsi="Arial" w:cs="Arial"/>
        </w:rPr>
        <w:t xml:space="preserve"> continuous driving hours. If you stop at a customer’s site and you are </w:t>
      </w:r>
      <w:r w:rsidRPr="00054EDA">
        <w:rPr>
          <w:rFonts w:ascii="Arial" w:hAnsi="Arial" w:cs="Arial"/>
          <w:b/>
        </w:rPr>
        <w:t>NOT</w:t>
      </w:r>
      <w:r w:rsidRPr="00054EDA">
        <w:rPr>
          <w:rFonts w:ascii="Arial" w:hAnsi="Arial" w:cs="Arial"/>
        </w:rPr>
        <w:t xml:space="preserve"> loading or unloading or supervising the load or unload of your vehicle, then this waiting period is classified by the regulator as a rest break (if it 15 minutes or longer). Also, if you are sitting in your vehicle while the forklift driver is loading or unloading your vehicle please ensure that your vehicle is switched off during the loading process. A rest break allows you to sit in the vehicle, but the engine cannot be running. </w:t>
      </w:r>
    </w:p>
    <w:p w14:paraId="240F1AA7" w14:textId="77777777" w:rsidR="004D0CBB" w:rsidRPr="00054EDA" w:rsidRDefault="00C867FC" w:rsidP="00054EDA">
      <w:pPr>
        <w:spacing w:before="240" w:after="240" w:line="360" w:lineRule="auto"/>
        <w:ind w:left="360"/>
        <w:rPr>
          <w:rFonts w:ascii="Arial" w:hAnsi="Arial" w:cs="Arial"/>
          <w:b/>
        </w:rPr>
      </w:pPr>
      <w:r w:rsidRPr="00054EDA">
        <w:rPr>
          <w:rFonts w:ascii="Arial" w:hAnsi="Arial" w:cs="Arial"/>
          <w:b/>
        </w:rPr>
        <w:t xml:space="preserve">Corrective </w:t>
      </w:r>
      <w:r w:rsidR="00FC2225">
        <w:rPr>
          <w:rFonts w:ascii="Arial" w:hAnsi="Arial" w:cs="Arial"/>
          <w:b/>
        </w:rPr>
        <w:t>a</w:t>
      </w:r>
      <w:r w:rsidRPr="00054EDA">
        <w:rPr>
          <w:rFonts w:ascii="Arial" w:hAnsi="Arial" w:cs="Arial"/>
          <w:b/>
        </w:rPr>
        <w:t>ctions</w:t>
      </w:r>
      <w:r w:rsidR="00FC2225">
        <w:rPr>
          <w:rFonts w:ascii="Arial" w:hAnsi="Arial" w:cs="Arial"/>
          <w:b/>
        </w:rPr>
        <w:t>:</w:t>
      </w:r>
      <w:r w:rsidRPr="00054EDA">
        <w:rPr>
          <w:rFonts w:ascii="Arial" w:hAnsi="Arial" w:cs="Arial"/>
          <w:b/>
        </w:rPr>
        <w:t xml:space="preserve"> </w:t>
      </w:r>
    </w:p>
    <w:p w14:paraId="727E4012" w14:textId="77777777" w:rsidR="004D0CBB" w:rsidRPr="00054EDA" w:rsidRDefault="00C867FC" w:rsidP="00054EDA">
      <w:pPr>
        <w:spacing w:before="240" w:after="240" w:line="360" w:lineRule="auto"/>
        <w:ind w:left="360"/>
        <w:rPr>
          <w:rFonts w:ascii="Arial" w:hAnsi="Arial" w:cs="Arial"/>
        </w:rPr>
      </w:pPr>
      <w:r w:rsidRPr="00054EDA">
        <w:rPr>
          <w:rFonts w:ascii="Arial" w:hAnsi="Arial" w:cs="Arial"/>
        </w:rPr>
        <w:t>Upon becoming aware of any breach of mass, dimens</w:t>
      </w:r>
      <w:r w:rsidR="004D0CBB" w:rsidRPr="00054EDA">
        <w:rPr>
          <w:rFonts w:ascii="Arial" w:hAnsi="Arial" w:cs="Arial"/>
        </w:rPr>
        <w:t xml:space="preserve">ion, load restraint, fatigue or </w:t>
      </w:r>
      <w:r w:rsidRPr="00054EDA">
        <w:rPr>
          <w:rFonts w:ascii="Arial" w:hAnsi="Arial" w:cs="Arial"/>
        </w:rPr>
        <w:t xml:space="preserve">speed, </w:t>
      </w:r>
      <w:r w:rsidR="008060E8" w:rsidRPr="00054EDA">
        <w:rPr>
          <w:rFonts w:ascii="Arial" w:hAnsi="Arial" w:cs="Arial"/>
        </w:rPr>
        <w:t>John Readings</w:t>
      </w:r>
      <w:r w:rsidR="00F32047" w:rsidRPr="00054EDA">
        <w:rPr>
          <w:rFonts w:ascii="Arial" w:hAnsi="Arial" w:cs="Arial"/>
        </w:rPr>
        <w:t xml:space="preserve"> </w:t>
      </w:r>
      <w:r w:rsidRPr="00054EDA">
        <w:rPr>
          <w:rFonts w:ascii="Arial" w:hAnsi="Arial" w:cs="Arial"/>
        </w:rPr>
        <w:t xml:space="preserve">may report the breach to the relevant authorities and retain records of the breach. Drivers may lose their contract of carriage with </w:t>
      </w:r>
      <w:r w:rsidR="008060E8" w:rsidRPr="00054EDA">
        <w:rPr>
          <w:rFonts w:ascii="Arial" w:hAnsi="Arial" w:cs="Arial"/>
        </w:rPr>
        <w:t>John Readings</w:t>
      </w:r>
      <w:r w:rsidR="00F32047" w:rsidRPr="00054EDA">
        <w:rPr>
          <w:rFonts w:ascii="Arial" w:hAnsi="Arial" w:cs="Arial"/>
        </w:rPr>
        <w:t xml:space="preserve"> </w:t>
      </w:r>
      <w:r w:rsidRPr="00054EDA">
        <w:rPr>
          <w:rFonts w:ascii="Arial" w:hAnsi="Arial" w:cs="Arial"/>
        </w:rPr>
        <w:t xml:space="preserve">if the breach is deemed a serious offence. More than three breaches for the same matter will cancel the driver’s contract of carriage with </w:t>
      </w:r>
      <w:r w:rsidR="00F32047" w:rsidRPr="00054EDA">
        <w:rPr>
          <w:rFonts w:ascii="Arial" w:hAnsi="Arial" w:cs="Arial"/>
        </w:rPr>
        <w:t>John Readings</w:t>
      </w:r>
      <w:r w:rsidRPr="00054EDA">
        <w:rPr>
          <w:rFonts w:ascii="Arial" w:hAnsi="Arial" w:cs="Arial"/>
        </w:rPr>
        <w:t xml:space="preserve">. Internal employees will also undergo disciplinary procedures which may include termination. A driver MUST ensure their vehicle </w:t>
      </w:r>
      <w:proofErr w:type="gramStart"/>
      <w:r w:rsidRPr="00054EDA">
        <w:rPr>
          <w:rFonts w:ascii="Arial" w:hAnsi="Arial" w:cs="Arial"/>
        </w:rPr>
        <w:t>is roadworthy at all times</w:t>
      </w:r>
      <w:proofErr w:type="gramEnd"/>
      <w:r w:rsidR="00111499">
        <w:rPr>
          <w:rFonts w:ascii="Arial" w:hAnsi="Arial" w:cs="Arial"/>
        </w:rPr>
        <w:t>. If a</w:t>
      </w:r>
      <w:r w:rsidRPr="00054EDA">
        <w:rPr>
          <w:rFonts w:ascii="Arial" w:hAnsi="Arial" w:cs="Arial"/>
        </w:rPr>
        <w:t xml:space="preserve"> driver fails to report a faulty vehicle to </w:t>
      </w:r>
      <w:r w:rsidR="008060E8" w:rsidRPr="00054EDA">
        <w:rPr>
          <w:rFonts w:ascii="Arial" w:hAnsi="Arial" w:cs="Arial"/>
        </w:rPr>
        <w:t>John Readings</w:t>
      </w:r>
      <w:r w:rsidR="00F32047" w:rsidRPr="00054EDA">
        <w:rPr>
          <w:rFonts w:ascii="Arial" w:hAnsi="Arial" w:cs="Arial"/>
        </w:rPr>
        <w:t xml:space="preserve"> </w:t>
      </w:r>
      <w:r w:rsidRPr="00054EDA">
        <w:rPr>
          <w:rFonts w:ascii="Arial" w:hAnsi="Arial" w:cs="Arial"/>
        </w:rPr>
        <w:t>Management, then the</w:t>
      </w:r>
      <w:r w:rsidR="00111499">
        <w:rPr>
          <w:rFonts w:ascii="Arial" w:hAnsi="Arial" w:cs="Arial"/>
        </w:rPr>
        <w:t xml:space="preserve"> d</w:t>
      </w:r>
      <w:r w:rsidRPr="00054EDA">
        <w:rPr>
          <w:rFonts w:ascii="Arial" w:hAnsi="Arial" w:cs="Arial"/>
        </w:rPr>
        <w:t xml:space="preserve">river’s contract of carriage will be terminated. If a </w:t>
      </w:r>
      <w:r w:rsidR="008060E8" w:rsidRPr="00054EDA">
        <w:rPr>
          <w:rFonts w:ascii="Arial" w:hAnsi="Arial" w:cs="Arial"/>
        </w:rPr>
        <w:t>John Readings</w:t>
      </w:r>
      <w:r w:rsidR="00F63037" w:rsidRPr="00054EDA">
        <w:rPr>
          <w:rFonts w:ascii="Arial" w:hAnsi="Arial" w:cs="Arial"/>
        </w:rPr>
        <w:t xml:space="preserve"> </w:t>
      </w:r>
      <w:r w:rsidRPr="00054EDA">
        <w:rPr>
          <w:rFonts w:ascii="Arial" w:hAnsi="Arial" w:cs="Arial"/>
        </w:rPr>
        <w:t xml:space="preserve">employee fails to report a </w:t>
      </w:r>
      <w:r w:rsidR="004D0CBB" w:rsidRPr="00054EDA">
        <w:rPr>
          <w:rFonts w:ascii="Arial" w:hAnsi="Arial" w:cs="Arial"/>
        </w:rPr>
        <w:t>driver’s</w:t>
      </w:r>
      <w:r w:rsidRPr="00054EDA">
        <w:rPr>
          <w:rFonts w:ascii="Arial" w:hAnsi="Arial" w:cs="Arial"/>
        </w:rPr>
        <w:t xml:space="preserve"> faulty vehicle then they will be subject to disciplinary procedures up to termination of employment. </w:t>
      </w:r>
    </w:p>
    <w:p w14:paraId="706CF6B6" w14:textId="77777777" w:rsidR="004D0CBB" w:rsidRPr="00054EDA" w:rsidRDefault="00C867FC" w:rsidP="00054EDA">
      <w:pPr>
        <w:spacing w:before="240" w:after="240" w:line="360" w:lineRule="auto"/>
        <w:ind w:left="360"/>
        <w:rPr>
          <w:rFonts w:ascii="Arial" w:hAnsi="Arial" w:cs="Arial"/>
          <w:b/>
        </w:rPr>
      </w:pPr>
      <w:r w:rsidRPr="00054EDA">
        <w:rPr>
          <w:rFonts w:ascii="Arial" w:hAnsi="Arial" w:cs="Arial"/>
          <w:b/>
        </w:rPr>
        <w:t xml:space="preserve">Penalties </w:t>
      </w:r>
    </w:p>
    <w:p w14:paraId="1F418DD8" w14:textId="77777777" w:rsidR="00384AC6" w:rsidRPr="00054EDA" w:rsidRDefault="00C867FC" w:rsidP="00054EDA">
      <w:pPr>
        <w:spacing w:before="240" w:after="240" w:line="360" w:lineRule="auto"/>
        <w:ind w:left="360"/>
        <w:rPr>
          <w:rFonts w:ascii="Arial" w:hAnsi="Arial" w:cs="Arial"/>
        </w:rPr>
      </w:pPr>
      <w:r w:rsidRPr="00054EDA">
        <w:rPr>
          <w:rFonts w:ascii="Arial" w:hAnsi="Arial" w:cs="Arial"/>
        </w:rPr>
        <w:t xml:space="preserve">Employers, employees, drivers and customers will be held accountable for dangerous work schedules and long truck queues, which are known to be major causes of fatigue. If poor business practices endanger the lives of other road users, there will be severe penalties for those responsible. </w:t>
      </w:r>
    </w:p>
    <w:p w14:paraId="30EB5656" w14:textId="77777777" w:rsidR="00EE56F1" w:rsidRDefault="00EE56F1">
      <w:pPr>
        <w:rPr>
          <w:rFonts w:ascii="Arial" w:hAnsi="Arial" w:cs="Arial"/>
          <w:b/>
        </w:rPr>
      </w:pPr>
      <w:r>
        <w:rPr>
          <w:rFonts w:ascii="Arial" w:hAnsi="Arial" w:cs="Arial"/>
          <w:b/>
        </w:rPr>
        <w:br w:type="page"/>
      </w:r>
    </w:p>
    <w:p w14:paraId="4F5BE3EE" w14:textId="77777777" w:rsidR="00384AC6" w:rsidRPr="00054EDA" w:rsidRDefault="00C867FC" w:rsidP="00054EDA">
      <w:pPr>
        <w:spacing w:before="240" w:after="240" w:line="360" w:lineRule="auto"/>
        <w:ind w:left="360"/>
        <w:rPr>
          <w:rFonts w:ascii="Arial" w:hAnsi="Arial" w:cs="Arial"/>
          <w:b/>
        </w:rPr>
      </w:pPr>
      <w:r w:rsidRPr="00054EDA">
        <w:rPr>
          <w:rFonts w:ascii="Arial" w:hAnsi="Arial" w:cs="Arial"/>
          <w:b/>
        </w:rPr>
        <w:lastRenderedPageBreak/>
        <w:t xml:space="preserve">What are the penalties? </w:t>
      </w:r>
    </w:p>
    <w:p w14:paraId="1343EE44" w14:textId="77777777" w:rsidR="00384AC6" w:rsidRPr="00054EDA" w:rsidRDefault="00C867FC" w:rsidP="00054EDA">
      <w:pPr>
        <w:spacing w:before="240" w:after="240" w:line="360" w:lineRule="auto"/>
        <w:ind w:left="360"/>
        <w:rPr>
          <w:rFonts w:ascii="Arial" w:hAnsi="Arial" w:cs="Arial"/>
        </w:rPr>
      </w:pPr>
      <w:r w:rsidRPr="00054EDA">
        <w:rPr>
          <w:rFonts w:ascii="Arial" w:hAnsi="Arial" w:cs="Arial"/>
        </w:rPr>
        <w:t xml:space="preserve">If you are in breach of CoR obligations </w:t>
      </w:r>
      <w:proofErr w:type="gramStart"/>
      <w:r w:rsidRPr="00054EDA">
        <w:rPr>
          <w:rFonts w:ascii="Arial" w:hAnsi="Arial" w:cs="Arial"/>
        </w:rPr>
        <w:t>a number of</w:t>
      </w:r>
      <w:proofErr w:type="gramEnd"/>
      <w:r w:rsidRPr="00054EDA">
        <w:rPr>
          <w:rFonts w:ascii="Arial" w:hAnsi="Arial" w:cs="Arial"/>
        </w:rPr>
        <w:t xml:space="preserve"> actions or government issued penalties may be taken against you and or the company, depending on the severity of the breac</w:t>
      </w:r>
      <w:r w:rsidR="00384AC6" w:rsidRPr="00054EDA">
        <w:rPr>
          <w:rFonts w:ascii="Arial" w:hAnsi="Arial" w:cs="Arial"/>
        </w:rPr>
        <w:t xml:space="preserve">h. Examples of penalties are: </w:t>
      </w:r>
    </w:p>
    <w:p w14:paraId="30186126" w14:textId="77777777" w:rsidR="00384AC6" w:rsidRPr="00054EDA" w:rsidRDefault="00C64993" w:rsidP="00054EDA">
      <w:pPr>
        <w:pStyle w:val="ListParagraph"/>
        <w:numPr>
          <w:ilvl w:val="0"/>
          <w:numId w:val="5"/>
        </w:numPr>
        <w:spacing w:before="240" w:after="240" w:line="360" w:lineRule="auto"/>
        <w:contextualSpacing w:val="0"/>
        <w:rPr>
          <w:rFonts w:ascii="Arial" w:hAnsi="Arial" w:cs="Arial"/>
        </w:rPr>
      </w:pPr>
      <w:r w:rsidRPr="00054EDA">
        <w:rPr>
          <w:rFonts w:ascii="Arial" w:hAnsi="Arial" w:cs="Arial"/>
        </w:rPr>
        <w:t>Warnings/education</w:t>
      </w:r>
      <w:r w:rsidR="00111499">
        <w:rPr>
          <w:rFonts w:ascii="Arial" w:hAnsi="Arial" w:cs="Arial"/>
        </w:rPr>
        <w:t>,</w:t>
      </w:r>
      <w:r w:rsidRPr="00054EDA">
        <w:rPr>
          <w:rFonts w:ascii="Arial" w:hAnsi="Arial" w:cs="Arial"/>
        </w:rPr>
        <w:t xml:space="preserve"> </w:t>
      </w:r>
    </w:p>
    <w:p w14:paraId="3253BC5B" w14:textId="77777777" w:rsidR="00384AC6" w:rsidRPr="00054EDA" w:rsidRDefault="00C64993" w:rsidP="00054EDA">
      <w:pPr>
        <w:pStyle w:val="ListParagraph"/>
        <w:numPr>
          <w:ilvl w:val="0"/>
          <w:numId w:val="5"/>
        </w:numPr>
        <w:spacing w:before="240" w:after="240" w:line="360" w:lineRule="auto"/>
        <w:contextualSpacing w:val="0"/>
        <w:rPr>
          <w:rFonts w:ascii="Arial" w:hAnsi="Arial" w:cs="Arial"/>
        </w:rPr>
      </w:pPr>
      <w:r w:rsidRPr="00054EDA">
        <w:rPr>
          <w:rFonts w:ascii="Arial" w:hAnsi="Arial" w:cs="Arial"/>
        </w:rPr>
        <w:t>Improvement notices</w:t>
      </w:r>
      <w:r w:rsidR="00111499">
        <w:rPr>
          <w:rFonts w:ascii="Arial" w:hAnsi="Arial" w:cs="Arial"/>
        </w:rPr>
        <w:t>,</w:t>
      </w:r>
      <w:r w:rsidR="00C867FC" w:rsidRPr="00054EDA">
        <w:rPr>
          <w:rFonts w:ascii="Arial" w:hAnsi="Arial" w:cs="Arial"/>
        </w:rPr>
        <w:t xml:space="preserve"> </w:t>
      </w:r>
    </w:p>
    <w:p w14:paraId="516DC8D2" w14:textId="77777777" w:rsidR="00384AC6" w:rsidRPr="00054EDA" w:rsidRDefault="00C64993" w:rsidP="00054EDA">
      <w:pPr>
        <w:pStyle w:val="ListParagraph"/>
        <w:numPr>
          <w:ilvl w:val="0"/>
          <w:numId w:val="5"/>
        </w:numPr>
        <w:spacing w:before="240" w:after="240" w:line="360" w:lineRule="auto"/>
        <w:contextualSpacing w:val="0"/>
        <w:rPr>
          <w:rFonts w:ascii="Arial" w:hAnsi="Arial" w:cs="Arial"/>
        </w:rPr>
      </w:pPr>
      <w:r w:rsidRPr="00054EDA">
        <w:rPr>
          <w:rFonts w:ascii="Arial" w:hAnsi="Arial" w:cs="Arial"/>
        </w:rPr>
        <w:t>I</w:t>
      </w:r>
      <w:r w:rsidR="00384AC6" w:rsidRPr="00054EDA">
        <w:rPr>
          <w:rFonts w:ascii="Arial" w:hAnsi="Arial" w:cs="Arial"/>
        </w:rPr>
        <w:t>nfringement/expiation notices</w:t>
      </w:r>
      <w:r w:rsidR="00111499">
        <w:rPr>
          <w:rFonts w:ascii="Arial" w:hAnsi="Arial" w:cs="Arial"/>
        </w:rPr>
        <w:t>,</w:t>
      </w:r>
      <w:r w:rsidR="00384AC6" w:rsidRPr="00054EDA">
        <w:rPr>
          <w:rFonts w:ascii="Arial" w:hAnsi="Arial" w:cs="Arial"/>
        </w:rPr>
        <w:t xml:space="preserve"> </w:t>
      </w:r>
    </w:p>
    <w:p w14:paraId="7BBE115A" w14:textId="77777777" w:rsidR="00384AC6" w:rsidRPr="00054EDA" w:rsidRDefault="00C64993" w:rsidP="00054EDA">
      <w:pPr>
        <w:pStyle w:val="ListParagraph"/>
        <w:numPr>
          <w:ilvl w:val="0"/>
          <w:numId w:val="5"/>
        </w:numPr>
        <w:spacing w:before="240" w:after="240" w:line="360" w:lineRule="auto"/>
        <w:contextualSpacing w:val="0"/>
        <w:rPr>
          <w:rFonts w:ascii="Arial" w:hAnsi="Arial" w:cs="Arial"/>
        </w:rPr>
      </w:pPr>
      <w:r w:rsidRPr="00054EDA">
        <w:rPr>
          <w:rFonts w:ascii="Arial" w:hAnsi="Arial" w:cs="Arial"/>
        </w:rPr>
        <w:t xml:space="preserve">Court </w:t>
      </w:r>
      <w:r w:rsidR="00384AC6" w:rsidRPr="00054EDA">
        <w:rPr>
          <w:rFonts w:ascii="Arial" w:hAnsi="Arial" w:cs="Arial"/>
        </w:rPr>
        <w:t>imposed fines</w:t>
      </w:r>
      <w:r w:rsidR="00111499">
        <w:rPr>
          <w:rFonts w:ascii="Arial" w:hAnsi="Arial" w:cs="Arial"/>
        </w:rPr>
        <w:t>,</w:t>
      </w:r>
      <w:r w:rsidR="00384AC6" w:rsidRPr="00054EDA">
        <w:rPr>
          <w:rFonts w:ascii="Arial" w:hAnsi="Arial" w:cs="Arial"/>
        </w:rPr>
        <w:t xml:space="preserve"> </w:t>
      </w:r>
    </w:p>
    <w:p w14:paraId="45ACAD92" w14:textId="77777777" w:rsidR="00384AC6" w:rsidRPr="00054EDA" w:rsidRDefault="00C867FC" w:rsidP="00054EDA">
      <w:pPr>
        <w:pStyle w:val="ListParagraph"/>
        <w:numPr>
          <w:ilvl w:val="0"/>
          <w:numId w:val="5"/>
        </w:numPr>
        <w:spacing w:before="240" w:after="240" w:line="360" w:lineRule="auto"/>
        <w:contextualSpacing w:val="0"/>
        <w:rPr>
          <w:rFonts w:ascii="Arial" w:hAnsi="Arial" w:cs="Arial"/>
        </w:rPr>
      </w:pPr>
      <w:r w:rsidRPr="00054EDA">
        <w:rPr>
          <w:rFonts w:ascii="Arial" w:hAnsi="Arial" w:cs="Arial"/>
        </w:rPr>
        <w:t>Supervisory Intervent</w:t>
      </w:r>
      <w:r w:rsidR="00384AC6" w:rsidRPr="00054EDA">
        <w:rPr>
          <w:rFonts w:ascii="Arial" w:hAnsi="Arial" w:cs="Arial"/>
        </w:rPr>
        <w:t>ion Orders</w:t>
      </w:r>
      <w:r w:rsidR="00111499">
        <w:rPr>
          <w:rFonts w:ascii="Arial" w:hAnsi="Arial" w:cs="Arial"/>
        </w:rPr>
        <w:t>,</w:t>
      </w:r>
      <w:r w:rsidR="00384AC6" w:rsidRPr="00054EDA">
        <w:rPr>
          <w:rFonts w:ascii="Arial" w:hAnsi="Arial" w:cs="Arial"/>
        </w:rPr>
        <w:t xml:space="preserve"> </w:t>
      </w:r>
    </w:p>
    <w:p w14:paraId="0C8B87E5" w14:textId="77777777" w:rsidR="00384AC6" w:rsidRPr="00054EDA" w:rsidRDefault="00384AC6" w:rsidP="00054EDA">
      <w:pPr>
        <w:pStyle w:val="ListParagraph"/>
        <w:numPr>
          <w:ilvl w:val="0"/>
          <w:numId w:val="5"/>
        </w:numPr>
        <w:spacing w:before="240" w:after="240" w:line="360" w:lineRule="auto"/>
        <w:contextualSpacing w:val="0"/>
        <w:rPr>
          <w:rFonts w:ascii="Arial" w:hAnsi="Arial" w:cs="Arial"/>
        </w:rPr>
      </w:pPr>
      <w:r w:rsidRPr="00054EDA">
        <w:rPr>
          <w:rFonts w:ascii="Arial" w:hAnsi="Arial" w:cs="Arial"/>
        </w:rPr>
        <w:t>Road Compensation Orders</w:t>
      </w:r>
      <w:r w:rsidR="00111499">
        <w:rPr>
          <w:rFonts w:ascii="Arial" w:hAnsi="Arial" w:cs="Arial"/>
        </w:rPr>
        <w:t>,</w:t>
      </w:r>
      <w:r w:rsidRPr="00054EDA">
        <w:rPr>
          <w:rFonts w:ascii="Arial" w:hAnsi="Arial" w:cs="Arial"/>
        </w:rPr>
        <w:t xml:space="preserve"> </w:t>
      </w:r>
    </w:p>
    <w:p w14:paraId="5FE9051A" w14:textId="77777777" w:rsidR="00384AC6" w:rsidRPr="00054EDA" w:rsidRDefault="00384AC6" w:rsidP="00054EDA">
      <w:pPr>
        <w:pStyle w:val="ListParagraph"/>
        <w:numPr>
          <w:ilvl w:val="0"/>
          <w:numId w:val="5"/>
        </w:numPr>
        <w:spacing w:before="240" w:after="240" w:line="360" w:lineRule="auto"/>
        <w:contextualSpacing w:val="0"/>
        <w:rPr>
          <w:rFonts w:ascii="Arial" w:hAnsi="Arial" w:cs="Arial"/>
        </w:rPr>
      </w:pPr>
      <w:r w:rsidRPr="00054EDA">
        <w:rPr>
          <w:rFonts w:ascii="Arial" w:hAnsi="Arial" w:cs="Arial"/>
        </w:rPr>
        <w:t>Commercial Benefits Orders</w:t>
      </w:r>
      <w:r w:rsidR="00111499">
        <w:rPr>
          <w:rFonts w:ascii="Arial" w:hAnsi="Arial" w:cs="Arial"/>
        </w:rPr>
        <w:t>,</w:t>
      </w:r>
      <w:r w:rsidRPr="00054EDA">
        <w:rPr>
          <w:rFonts w:ascii="Arial" w:hAnsi="Arial" w:cs="Arial"/>
        </w:rPr>
        <w:t xml:space="preserve"> </w:t>
      </w:r>
    </w:p>
    <w:p w14:paraId="09759708" w14:textId="77777777" w:rsidR="00384AC6" w:rsidRPr="00054EDA" w:rsidRDefault="00384AC6" w:rsidP="00054EDA">
      <w:pPr>
        <w:pStyle w:val="ListParagraph"/>
        <w:numPr>
          <w:ilvl w:val="0"/>
          <w:numId w:val="5"/>
        </w:numPr>
        <w:spacing w:before="240" w:after="240" w:line="360" w:lineRule="auto"/>
        <w:contextualSpacing w:val="0"/>
        <w:rPr>
          <w:rFonts w:ascii="Arial" w:hAnsi="Arial" w:cs="Arial"/>
        </w:rPr>
      </w:pPr>
      <w:r w:rsidRPr="00054EDA">
        <w:rPr>
          <w:rFonts w:ascii="Arial" w:hAnsi="Arial" w:cs="Arial"/>
        </w:rPr>
        <w:t>Prohibition Orders</w:t>
      </w:r>
      <w:r w:rsidR="00111499">
        <w:rPr>
          <w:rFonts w:ascii="Arial" w:hAnsi="Arial" w:cs="Arial"/>
        </w:rPr>
        <w:t>,</w:t>
      </w:r>
      <w:r w:rsidRPr="00054EDA">
        <w:rPr>
          <w:rFonts w:ascii="Arial" w:hAnsi="Arial" w:cs="Arial"/>
        </w:rPr>
        <w:t xml:space="preserve"> </w:t>
      </w:r>
    </w:p>
    <w:p w14:paraId="7F2FC68C" w14:textId="77777777" w:rsidR="00384AC6" w:rsidRPr="00054EDA" w:rsidRDefault="00C867FC" w:rsidP="00054EDA">
      <w:pPr>
        <w:pStyle w:val="ListParagraph"/>
        <w:numPr>
          <w:ilvl w:val="0"/>
          <w:numId w:val="5"/>
        </w:numPr>
        <w:spacing w:before="240" w:after="240" w:line="360" w:lineRule="auto"/>
        <w:contextualSpacing w:val="0"/>
        <w:rPr>
          <w:rFonts w:ascii="Arial" w:hAnsi="Arial" w:cs="Arial"/>
        </w:rPr>
      </w:pPr>
      <w:r w:rsidRPr="00054EDA">
        <w:rPr>
          <w:rFonts w:ascii="Arial" w:hAnsi="Arial" w:cs="Arial"/>
        </w:rPr>
        <w:t>Licensing and registration sanctions</w:t>
      </w:r>
      <w:r w:rsidR="00111499">
        <w:rPr>
          <w:rFonts w:ascii="Arial" w:hAnsi="Arial" w:cs="Arial"/>
        </w:rPr>
        <w:t>.</w:t>
      </w:r>
      <w:r w:rsidRPr="00054EDA">
        <w:rPr>
          <w:rFonts w:ascii="Arial" w:hAnsi="Arial" w:cs="Arial"/>
        </w:rPr>
        <w:t xml:space="preserve"> </w:t>
      </w:r>
    </w:p>
    <w:p w14:paraId="66E0F559" w14:textId="77777777" w:rsidR="00C867FC" w:rsidRPr="00054EDA" w:rsidRDefault="00C867FC" w:rsidP="00054EDA">
      <w:pPr>
        <w:spacing w:before="240" w:after="240" w:line="360" w:lineRule="auto"/>
        <w:rPr>
          <w:rFonts w:ascii="Arial" w:hAnsi="Arial" w:cs="Arial"/>
        </w:rPr>
      </w:pPr>
      <w:r w:rsidRPr="00054EDA">
        <w:rPr>
          <w:rFonts w:ascii="Arial" w:hAnsi="Arial" w:cs="Arial"/>
        </w:rPr>
        <w:t xml:space="preserve">Penalties escalate sharply for offences which pose a serious road safety risk; including court-imposed fines of up to $3 million (for corporations) per offence and $300,000 and or </w:t>
      </w:r>
      <w:r w:rsidR="000720FA">
        <w:rPr>
          <w:rFonts w:ascii="Arial" w:hAnsi="Arial" w:cs="Arial"/>
        </w:rPr>
        <w:t>five</w:t>
      </w:r>
      <w:r w:rsidRPr="00054EDA">
        <w:rPr>
          <w:rFonts w:ascii="Arial" w:hAnsi="Arial" w:cs="Arial"/>
        </w:rPr>
        <w:t xml:space="preserve"> years imprisonment (per person) per offence. Under the new CoR laws changing in 2018</w:t>
      </w:r>
      <w:r w:rsidR="000720FA">
        <w:rPr>
          <w:rFonts w:ascii="Arial" w:hAnsi="Arial" w:cs="Arial"/>
        </w:rPr>
        <w:t>,</w:t>
      </w:r>
      <w:r w:rsidRPr="00054EDA">
        <w:rPr>
          <w:rFonts w:ascii="Arial" w:hAnsi="Arial" w:cs="Arial"/>
        </w:rPr>
        <w:t xml:space="preserve"> penalties will be based on the severity of the risk posed by an offence.</w:t>
      </w:r>
    </w:p>
    <w:p w14:paraId="5F314759" w14:textId="77777777" w:rsidR="00C64993" w:rsidRPr="00054EDA" w:rsidRDefault="00C867FC" w:rsidP="00054EDA">
      <w:pPr>
        <w:spacing w:before="240" w:after="240" w:line="360" w:lineRule="auto"/>
        <w:rPr>
          <w:rFonts w:ascii="Arial" w:hAnsi="Arial" w:cs="Arial"/>
          <w:b/>
        </w:rPr>
      </w:pPr>
      <w:r w:rsidRPr="00054EDA">
        <w:rPr>
          <w:rFonts w:ascii="Arial" w:hAnsi="Arial" w:cs="Arial"/>
          <w:b/>
        </w:rPr>
        <w:t xml:space="preserve">Summary </w:t>
      </w:r>
    </w:p>
    <w:p w14:paraId="008B1061" w14:textId="77777777" w:rsidR="00C64993" w:rsidRPr="00054EDA" w:rsidRDefault="00C867FC" w:rsidP="00054EDA">
      <w:pPr>
        <w:spacing w:before="240" w:after="240" w:line="360" w:lineRule="auto"/>
        <w:rPr>
          <w:rFonts w:ascii="Arial" w:hAnsi="Arial" w:cs="Arial"/>
        </w:rPr>
      </w:pPr>
      <w:r w:rsidRPr="00054EDA">
        <w:rPr>
          <w:rFonts w:ascii="Arial" w:hAnsi="Arial" w:cs="Arial"/>
        </w:rPr>
        <w:t xml:space="preserve">The safety of all road users hinges upon the proper maintenance of heavy vehicles. Heavy vehicle </w:t>
      </w:r>
      <w:r w:rsidR="000720FA" w:rsidRPr="00054EDA">
        <w:rPr>
          <w:rFonts w:ascii="Arial" w:hAnsi="Arial" w:cs="Arial"/>
        </w:rPr>
        <w:t>drivers’</w:t>
      </w:r>
      <w:r w:rsidRPr="00054EDA">
        <w:rPr>
          <w:rFonts w:ascii="Arial" w:hAnsi="Arial" w:cs="Arial"/>
        </w:rPr>
        <w:t xml:space="preserve"> operators are required to ensure their vehicles/or fleet are free from defects, mechanically safe and in proper working order before a vehicle enters the road network.</w:t>
      </w:r>
    </w:p>
    <w:p w14:paraId="7200140E" w14:textId="77777777" w:rsidR="00EE56F1" w:rsidRDefault="00EE56F1">
      <w:pPr>
        <w:rPr>
          <w:rFonts w:ascii="Arial" w:hAnsi="Arial" w:cs="Arial"/>
          <w:b/>
        </w:rPr>
      </w:pPr>
      <w:r>
        <w:rPr>
          <w:rFonts w:ascii="Arial" w:hAnsi="Arial" w:cs="Arial"/>
          <w:b/>
        </w:rPr>
        <w:br w:type="page"/>
      </w:r>
    </w:p>
    <w:p w14:paraId="080E4D7C" w14:textId="12F86C4E" w:rsidR="00C64993" w:rsidRPr="00054EDA" w:rsidRDefault="00C867FC" w:rsidP="00054EDA">
      <w:pPr>
        <w:spacing w:before="240" w:after="240" w:line="360" w:lineRule="auto"/>
        <w:rPr>
          <w:rFonts w:ascii="Arial" w:hAnsi="Arial" w:cs="Arial"/>
          <w:b/>
        </w:rPr>
      </w:pPr>
      <w:r w:rsidRPr="00054EDA">
        <w:rPr>
          <w:rFonts w:ascii="Arial" w:hAnsi="Arial" w:cs="Arial"/>
          <w:b/>
        </w:rPr>
        <w:lastRenderedPageBreak/>
        <w:t>Reference Material</w:t>
      </w:r>
      <w:r w:rsidR="000E019B">
        <w:rPr>
          <w:rFonts w:ascii="Arial" w:hAnsi="Arial" w:cs="Arial"/>
          <w:b/>
        </w:rPr>
        <w:t>s</w:t>
      </w:r>
      <w:r w:rsidRPr="00054EDA">
        <w:rPr>
          <w:rFonts w:ascii="Arial" w:hAnsi="Arial" w:cs="Arial"/>
          <w:b/>
        </w:rPr>
        <w:t xml:space="preserve"> </w:t>
      </w:r>
    </w:p>
    <w:p w14:paraId="27BF3862" w14:textId="77777777" w:rsidR="00877ACB" w:rsidRPr="00054EDA" w:rsidRDefault="00C867FC" w:rsidP="00054EDA">
      <w:pPr>
        <w:spacing w:before="240" w:after="240" w:line="360" w:lineRule="auto"/>
        <w:rPr>
          <w:rFonts w:ascii="Arial" w:hAnsi="Arial" w:cs="Arial"/>
        </w:rPr>
      </w:pPr>
      <w:r w:rsidRPr="00054EDA">
        <w:rPr>
          <w:rFonts w:ascii="Arial" w:hAnsi="Arial" w:cs="Arial"/>
        </w:rPr>
        <w:t>HVNL regulations</w:t>
      </w:r>
      <w:r w:rsidR="000720FA">
        <w:rPr>
          <w:rFonts w:ascii="Arial" w:hAnsi="Arial" w:cs="Arial"/>
        </w:rPr>
        <w:t>.</w:t>
      </w:r>
      <w:r w:rsidRPr="00054EDA">
        <w:rPr>
          <w:rFonts w:ascii="Arial" w:hAnsi="Arial" w:cs="Arial"/>
        </w:rPr>
        <w:t xml:space="preserve"> Refer to the follow</w:t>
      </w:r>
      <w:r w:rsidR="00877ACB" w:rsidRPr="00054EDA">
        <w:rPr>
          <w:rFonts w:ascii="Arial" w:hAnsi="Arial" w:cs="Arial"/>
        </w:rPr>
        <w:t xml:space="preserve">ing </w:t>
      </w:r>
      <w:r w:rsidR="008060E8" w:rsidRPr="00054EDA">
        <w:rPr>
          <w:rFonts w:ascii="Arial" w:hAnsi="Arial" w:cs="Arial"/>
        </w:rPr>
        <w:t>John Readings</w:t>
      </w:r>
      <w:r w:rsidR="00F63037" w:rsidRPr="00054EDA">
        <w:rPr>
          <w:rFonts w:ascii="Arial" w:hAnsi="Arial" w:cs="Arial"/>
        </w:rPr>
        <w:t xml:space="preserve"> </w:t>
      </w:r>
      <w:r w:rsidR="00877ACB" w:rsidRPr="00054EDA">
        <w:rPr>
          <w:rFonts w:ascii="Arial" w:hAnsi="Arial" w:cs="Arial"/>
        </w:rPr>
        <w:t>documents</w:t>
      </w:r>
      <w:r w:rsidR="000720FA">
        <w:rPr>
          <w:rFonts w:ascii="Arial" w:hAnsi="Arial" w:cs="Arial"/>
        </w:rPr>
        <w:t>:</w:t>
      </w:r>
      <w:r w:rsidR="00877ACB" w:rsidRPr="00054EDA">
        <w:rPr>
          <w:rFonts w:ascii="Arial" w:hAnsi="Arial" w:cs="Arial"/>
        </w:rPr>
        <w:t xml:space="preserve"> </w:t>
      </w:r>
    </w:p>
    <w:p w14:paraId="6DE2D320" w14:textId="65060473" w:rsidR="00877ACB" w:rsidRPr="000E019B" w:rsidRDefault="008060E8" w:rsidP="00054EDA">
      <w:pPr>
        <w:pStyle w:val="ListParagraph"/>
        <w:numPr>
          <w:ilvl w:val="0"/>
          <w:numId w:val="6"/>
        </w:numPr>
        <w:spacing w:before="240" w:after="240" w:line="360" w:lineRule="auto"/>
        <w:ind w:left="720"/>
        <w:contextualSpacing w:val="0"/>
        <w:rPr>
          <w:rFonts w:ascii="Arial" w:hAnsi="Arial" w:cs="Arial"/>
        </w:rPr>
      </w:pPr>
      <w:r w:rsidRPr="000E019B">
        <w:rPr>
          <w:rFonts w:ascii="Arial" w:hAnsi="Arial" w:cs="Arial"/>
        </w:rPr>
        <w:t>John Readings</w:t>
      </w:r>
      <w:r w:rsidR="00F63037" w:rsidRPr="000E019B">
        <w:rPr>
          <w:rFonts w:ascii="Arial" w:hAnsi="Arial" w:cs="Arial"/>
        </w:rPr>
        <w:t xml:space="preserve"> </w:t>
      </w:r>
      <w:r w:rsidR="000E019B" w:rsidRPr="000E019B">
        <w:rPr>
          <w:rFonts w:ascii="Arial" w:hAnsi="Arial" w:cs="Arial"/>
        </w:rPr>
        <w:t xml:space="preserve">Policy </w:t>
      </w:r>
      <w:r w:rsidR="00877ACB" w:rsidRPr="000E019B">
        <w:rPr>
          <w:rFonts w:ascii="Arial" w:hAnsi="Arial" w:cs="Arial"/>
        </w:rPr>
        <w:t>Fatigue Management</w:t>
      </w:r>
      <w:r w:rsidR="000E019B" w:rsidRPr="000E019B">
        <w:rPr>
          <w:rFonts w:ascii="Arial" w:hAnsi="Arial" w:cs="Arial"/>
        </w:rPr>
        <w:t>,</w:t>
      </w:r>
      <w:r w:rsidR="00877ACB" w:rsidRPr="000E019B">
        <w:rPr>
          <w:rFonts w:ascii="Arial" w:hAnsi="Arial" w:cs="Arial"/>
        </w:rPr>
        <w:t xml:space="preserve"> </w:t>
      </w:r>
    </w:p>
    <w:p w14:paraId="31CA766D" w14:textId="5E548628" w:rsidR="00877ACB" w:rsidRPr="000E019B" w:rsidRDefault="008060E8" w:rsidP="00054EDA">
      <w:pPr>
        <w:pStyle w:val="ListParagraph"/>
        <w:numPr>
          <w:ilvl w:val="0"/>
          <w:numId w:val="6"/>
        </w:numPr>
        <w:spacing w:before="240" w:after="240" w:line="360" w:lineRule="auto"/>
        <w:ind w:left="720"/>
        <w:contextualSpacing w:val="0"/>
        <w:rPr>
          <w:rFonts w:ascii="Arial" w:hAnsi="Arial" w:cs="Arial"/>
        </w:rPr>
      </w:pPr>
      <w:r w:rsidRPr="000E019B">
        <w:rPr>
          <w:rFonts w:ascii="Arial" w:hAnsi="Arial" w:cs="Arial"/>
        </w:rPr>
        <w:t>John Readings</w:t>
      </w:r>
      <w:r w:rsidR="00F63037" w:rsidRPr="000E019B">
        <w:rPr>
          <w:rFonts w:ascii="Arial" w:hAnsi="Arial" w:cs="Arial"/>
        </w:rPr>
        <w:t xml:space="preserve"> </w:t>
      </w:r>
      <w:r w:rsidR="00C867FC" w:rsidRPr="000E019B">
        <w:rPr>
          <w:rFonts w:ascii="Arial" w:hAnsi="Arial" w:cs="Arial"/>
        </w:rPr>
        <w:t>(Mass, Dimension, Load and Speed Pol</w:t>
      </w:r>
      <w:r w:rsidR="000E019B">
        <w:rPr>
          <w:rFonts w:ascii="Arial" w:hAnsi="Arial" w:cs="Arial"/>
        </w:rPr>
        <w:t>ic</w:t>
      </w:r>
      <w:r w:rsidR="00626B74">
        <w:rPr>
          <w:rFonts w:ascii="Arial" w:hAnsi="Arial" w:cs="Arial"/>
        </w:rPr>
        <w:t>ies</w:t>
      </w:r>
      <w:r w:rsidR="00673D2D">
        <w:rPr>
          <w:rFonts w:ascii="Arial" w:hAnsi="Arial" w:cs="Arial"/>
        </w:rPr>
        <w:t>)</w:t>
      </w:r>
      <w:r w:rsidR="000E019B" w:rsidRPr="000E019B">
        <w:rPr>
          <w:rFonts w:ascii="Arial" w:hAnsi="Arial" w:cs="Arial"/>
        </w:rPr>
        <w:t>.</w:t>
      </w:r>
    </w:p>
    <w:p w14:paraId="3F2DFA8E" w14:textId="77777777" w:rsidR="00877ACB" w:rsidRPr="00054EDA" w:rsidRDefault="00C867FC" w:rsidP="00054EDA">
      <w:pPr>
        <w:spacing w:before="240" w:after="240" w:line="360" w:lineRule="auto"/>
        <w:rPr>
          <w:rFonts w:ascii="Arial" w:hAnsi="Arial" w:cs="Arial"/>
          <w:b/>
        </w:rPr>
      </w:pPr>
      <w:r w:rsidRPr="00054EDA">
        <w:rPr>
          <w:rFonts w:ascii="Arial" w:hAnsi="Arial" w:cs="Arial"/>
          <w:b/>
        </w:rPr>
        <w:t>Heavy Vehicle National Law</w:t>
      </w:r>
      <w:r w:rsidR="00C87B04">
        <w:rPr>
          <w:rFonts w:ascii="Arial" w:hAnsi="Arial" w:cs="Arial"/>
          <w:b/>
        </w:rPr>
        <w:t>:</w:t>
      </w:r>
      <w:r w:rsidRPr="00054EDA">
        <w:rPr>
          <w:rFonts w:ascii="Arial" w:hAnsi="Arial" w:cs="Arial"/>
          <w:b/>
        </w:rPr>
        <w:t xml:space="preserve"> </w:t>
      </w:r>
    </w:p>
    <w:p w14:paraId="61F1F3F3" w14:textId="77777777" w:rsidR="00877ACB" w:rsidRPr="00B2016D" w:rsidRDefault="00C867FC" w:rsidP="00054EDA">
      <w:pPr>
        <w:spacing w:before="240" w:after="240" w:line="360" w:lineRule="auto"/>
        <w:rPr>
          <w:rFonts w:ascii="Arial" w:hAnsi="Arial" w:cs="Arial"/>
        </w:rPr>
      </w:pPr>
      <w:r w:rsidRPr="00054EDA">
        <w:rPr>
          <w:rFonts w:ascii="Arial" w:hAnsi="Arial" w:cs="Arial"/>
        </w:rPr>
        <w:t xml:space="preserve">Information in regards to Heavy Vehicle National Law and regulations can be found at: </w:t>
      </w:r>
      <w:hyperlink r:id="rId8" w:history="1">
        <w:r w:rsidR="00877ACB" w:rsidRPr="00B2016D">
          <w:rPr>
            <w:rStyle w:val="Hyperlink"/>
            <w:rFonts w:ascii="Arial" w:hAnsi="Arial" w:cs="Arial"/>
          </w:rPr>
          <w:t>https://www.nhvr.gov.au/safety-accreditation-compliance</w:t>
        </w:r>
      </w:hyperlink>
      <w:r w:rsidR="00877ACB" w:rsidRPr="00B2016D">
        <w:rPr>
          <w:rFonts w:ascii="Arial" w:hAnsi="Arial" w:cs="Arial"/>
        </w:rPr>
        <w:t xml:space="preserve"> </w:t>
      </w:r>
      <w:r w:rsidRPr="00B2016D">
        <w:rPr>
          <w:rFonts w:ascii="Arial" w:hAnsi="Arial" w:cs="Arial"/>
        </w:rPr>
        <w:t xml:space="preserve"> </w:t>
      </w:r>
    </w:p>
    <w:p w14:paraId="1A288D5E" w14:textId="77777777" w:rsidR="00F63037" w:rsidRPr="00B2016D" w:rsidRDefault="00C867FC" w:rsidP="00054EDA">
      <w:pPr>
        <w:spacing w:before="240" w:after="240" w:line="360" w:lineRule="auto"/>
        <w:rPr>
          <w:rFonts w:ascii="Arial" w:hAnsi="Arial" w:cs="Arial"/>
        </w:rPr>
      </w:pPr>
      <w:r w:rsidRPr="00B2016D">
        <w:rPr>
          <w:rFonts w:ascii="Arial" w:hAnsi="Arial" w:cs="Arial"/>
        </w:rPr>
        <w:t>Additional information is available from</w:t>
      </w:r>
      <w:r w:rsidR="00BF2B38" w:rsidRPr="00B2016D">
        <w:rPr>
          <w:rFonts w:ascii="Arial" w:hAnsi="Arial" w:cs="Arial"/>
        </w:rPr>
        <w:t xml:space="preserve"> the</w:t>
      </w:r>
      <w:r w:rsidRPr="00B2016D">
        <w:rPr>
          <w:rFonts w:ascii="Arial" w:hAnsi="Arial" w:cs="Arial"/>
        </w:rPr>
        <w:t xml:space="preserve"> Road and Transport Authority website</w:t>
      </w:r>
      <w:r w:rsidR="00BF2B38" w:rsidRPr="00B2016D">
        <w:rPr>
          <w:rFonts w:ascii="Arial" w:hAnsi="Arial" w:cs="Arial"/>
        </w:rPr>
        <w:t xml:space="preserve"> for your State/ Territory</w:t>
      </w:r>
      <w:r w:rsidR="004E24E0" w:rsidRPr="00B2016D">
        <w:rPr>
          <w:rFonts w:ascii="Arial" w:hAnsi="Arial" w:cs="Arial"/>
        </w:rPr>
        <w:t xml:space="preserve">. </w:t>
      </w:r>
      <w:r w:rsidRPr="00B2016D">
        <w:rPr>
          <w:rFonts w:ascii="Arial" w:hAnsi="Arial" w:cs="Arial"/>
        </w:rPr>
        <w:t xml:space="preserve">The National Transport Commission has developed Guidelines for Managing Heavy Vehicle Driver Fatigue. The guidelines are designed for drivers, employers, operators and schedulers, as well as Chain of Responsibility Statement users and customers of road transport. They provide guidance on managing heavy vehicle driver fatigue and on the responsibilities of each of party. They are available at the National Transport Commission website </w:t>
      </w:r>
      <w:hyperlink r:id="rId9" w:history="1">
        <w:r w:rsidR="0041156D" w:rsidRPr="00B2016D">
          <w:rPr>
            <w:rStyle w:val="Hyperlink"/>
            <w:rFonts w:ascii="Arial" w:hAnsi="Arial" w:cs="Arial"/>
          </w:rPr>
          <w:t>www.ntc.gov.au</w:t>
        </w:r>
      </w:hyperlink>
      <w:r w:rsidR="006443EB" w:rsidRPr="00B2016D">
        <w:rPr>
          <w:rFonts w:ascii="Arial" w:hAnsi="Arial" w:cs="Arial"/>
        </w:rPr>
        <w:t>.</w:t>
      </w:r>
    </w:p>
    <w:p w14:paraId="20C40BB1" w14:textId="77777777" w:rsidR="00DD6CDC" w:rsidRPr="00B2016D" w:rsidRDefault="00C867FC" w:rsidP="00054EDA">
      <w:pPr>
        <w:spacing w:before="240" w:after="240" w:line="360" w:lineRule="auto"/>
        <w:rPr>
          <w:rStyle w:val="Hyperlink"/>
          <w:rFonts w:ascii="Arial" w:hAnsi="Arial" w:cs="Arial"/>
        </w:rPr>
      </w:pPr>
      <w:r w:rsidRPr="00B2016D">
        <w:rPr>
          <w:rFonts w:ascii="Arial" w:hAnsi="Arial" w:cs="Arial"/>
        </w:rPr>
        <w:t>Heavy Vehicles Dri</w:t>
      </w:r>
      <w:r w:rsidR="00DD6CDC" w:rsidRPr="00B2016D">
        <w:rPr>
          <w:rFonts w:ascii="Arial" w:hAnsi="Arial" w:cs="Arial"/>
        </w:rPr>
        <w:t>ver Handbook can be downloaded</w:t>
      </w:r>
      <w:r w:rsidR="0041156D" w:rsidRPr="00B2016D">
        <w:rPr>
          <w:rFonts w:ascii="Arial" w:hAnsi="Arial" w:cs="Arial"/>
        </w:rPr>
        <w:t xml:space="preserve"> here</w:t>
      </w:r>
      <w:r w:rsidR="00DD6CDC" w:rsidRPr="00B2016D">
        <w:rPr>
          <w:rFonts w:ascii="Arial" w:hAnsi="Arial" w:cs="Arial"/>
        </w:rPr>
        <w:t>:</w:t>
      </w:r>
      <w:r w:rsidR="0041156D" w:rsidRPr="00B2016D">
        <w:rPr>
          <w:rFonts w:ascii="Arial" w:hAnsi="Arial" w:cs="Arial"/>
        </w:rPr>
        <w:t xml:space="preserve"> </w:t>
      </w:r>
      <w:r w:rsidRPr="00B2016D">
        <w:rPr>
          <w:rFonts w:ascii="Arial" w:hAnsi="Arial" w:cs="Arial"/>
        </w:rPr>
        <w:t xml:space="preserve"> </w:t>
      </w:r>
      <w:hyperlink r:id="rId10" w:history="1">
        <w:r w:rsidR="009E60C7" w:rsidRPr="00B2016D">
          <w:rPr>
            <w:rStyle w:val="Hyperlink"/>
            <w:rFonts w:ascii="Arial" w:hAnsi="Arial" w:cs="Arial"/>
          </w:rPr>
          <w:t>https://www.rms.nsw.gov.au/documents/roads/licence/heavy-vehicle-driver-handbook.pdf</w:t>
        </w:r>
      </w:hyperlink>
      <w:r w:rsidR="009E60C7" w:rsidRPr="00B2016D">
        <w:rPr>
          <w:rStyle w:val="Hyperlink"/>
          <w:rFonts w:ascii="Arial" w:hAnsi="Arial" w:cs="Arial"/>
          <w:color w:val="FF0000"/>
        </w:rPr>
        <w:t xml:space="preserve"> </w:t>
      </w:r>
    </w:p>
    <w:p w14:paraId="1C015627" w14:textId="77777777" w:rsidR="009E60C7" w:rsidRPr="00B2016D" w:rsidRDefault="00C867FC" w:rsidP="00054EDA">
      <w:pPr>
        <w:spacing w:before="240" w:after="240" w:line="360" w:lineRule="auto"/>
        <w:rPr>
          <w:rFonts w:ascii="Arial" w:hAnsi="Arial" w:cs="Arial"/>
          <w:b/>
        </w:rPr>
      </w:pPr>
      <w:r w:rsidRPr="00B2016D">
        <w:rPr>
          <w:rFonts w:ascii="Arial" w:hAnsi="Arial" w:cs="Arial"/>
        </w:rPr>
        <w:t>Load Restraint Guide can be downloaded</w:t>
      </w:r>
      <w:r w:rsidR="0041156D" w:rsidRPr="00B2016D">
        <w:rPr>
          <w:rFonts w:ascii="Arial" w:hAnsi="Arial" w:cs="Arial"/>
        </w:rPr>
        <w:t xml:space="preserve"> here</w:t>
      </w:r>
      <w:r w:rsidRPr="00B2016D">
        <w:rPr>
          <w:rFonts w:ascii="Arial" w:hAnsi="Arial" w:cs="Arial"/>
        </w:rPr>
        <w:t xml:space="preserve">: </w:t>
      </w:r>
      <w:hyperlink r:id="rId11" w:history="1">
        <w:r w:rsidR="009E60C7" w:rsidRPr="00B2016D">
          <w:rPr>
            <w:rStyle w:val="Hyperlink"/>
            <w:rFonts w:ascii="Arial" w:hAnsi="Arial" w:cs="Arial"/>
          </w:rPr>
          <w:t>https://www.ntc.gov.au/sites/default/files/assets/files/Load-Restraint-Guide-2018.pdf</w:t>
        </w:r>
      </w:hyperlink>
      <w:r w:rsidR="009E60C7" w:rsidRPr="00B2016D">
        <w:rPr>
          <w:rFonts w:ascii="Arial" w:hAnsi="Arial" w:cs="Arial"/>
          <w:b/>
        </w:rPr>
        <w:t xml:space="preserve"> </w:t>
      </w:r>
    </w:p>
    <w:p w14:paraId="7A52C944" w14:textId="77777777" w:rsidR="00DD6CDC" w:rsidRPr="00B2016D" w:rsidRDefault="00C867FC" w:rsidP="00054EDA">
      <w:pPr>
        <w:spacing w:before="240" w:after="240" w:line="360" w:lineRule="auto"/>
        <w:rPr>
          <w:rFonts w:ascii="Arial" w:hAnsi="Arial" w:cs="Arial"/>
          <w:b/>
        </w:rPr>
      </w:pPr>
      <w:r w:rsidRPr="00B2016D">
        <w:rPr>
          <w:rFonts w:ascii="Arial" w:hAnsi="Arial" w:cs="Arial"/>
          <w:b/>
        </w:rPr>
        <w:t xml:space="preserve">Industry </w:t>
      </w:r>
      <w:r w:rsidR="0041156D" w:rsidRPr="00B2016D">
        <w:rPr>
          <w:rFonts w:ascii="Arial" w:hAnsi="Arial" w:cs="Arial"/>
          <w:b/>
        </w:rPr>
        <w:t xml:space="preserve">codes of practice: </w:t>
      </w:r>
    </w:p>
    <w:p w14:paraId="55003142" w14:textId="77777777" w:rsidR="00DD6CDC" w:rsidRPr="00B2016D" w:rsidRDefault="00C867FC" w:rsidP="00054EDA">
      <w:pPr>
        <w:spacing w:before="240" w:after="240" w:line="360" w:lineRule="auto"/>
        <w:rPr>
          <w:rFonts w:ascii="Arial" w:hAnsi="Arial" w:cs="Arial"/>
        </w:rPr>
      </w:pPr>
      <w:r w:rsidRPr="00B2016D">
        <w:rPr>
          <w:rFonts w:ascii="Arial" w:hAnsi="Arial" w:cs="Arial"/>
        </w:rPr>
        <w:t xml:space="preserve">Compliance with the law can also be shown through application of Registered Industry Codes of Practice. Industries can access the national Guidelines for Developing and Registering Industry Codes of Practice at </w:t>
      </w:r>
      <w:hyperlink r:id="rId12" w:history="1">
        <w:r w:rsidR="00DD6CDC" w:rsidRPr="00B2016D">
          <w:rPr>
            <w:rStyle w:val="Hyperlink"/>
            <w:rFonts w:ascii="Arial" w:hAnsi="Arial" w:cs="Arial"/>
          </w:rPr>
          <w:t>www.austroads.com.au</w:t>
        </w:r>
      </w:hyperlink>
      <w:r w:rsidRPr="00B2016D">
        <w:rPr>
          <w:rFonts w:ascii="Arial" w:hAnsi="Arial" w:cs="Arial"/>
        </w:rPr>
        <w:t xml:space="preserve"> </w:t>
      </w:r>
    </w:p>
    <w:p w14:paraId="036E9F0D" w14:textId="77777777" w:rsidR="00651C2B" w:rsidRPr="00B2016D" w:rsidRDefault="00C867FC" w:rsidP="00054EDA">
      <w:pPr>
        <w:spacing w:before="240" w:after="240" w:line="360" w:lineRule="auto"/>
        <w:rPr>
          <w:rFonts w:ascii="Arial" w:hAnsi="Arial" w:cs="Arial"/>
        </w:rPr>
      </w:pPr>
      <w:r w:rsidRPr="00B2016D">
        <w:rPr>
          <w:rFonts w:ascii="Arial" w:hAnsi="Arial" w:cs="Arial"/>
        </w:rPr>
        <w:t>WA Heavy vehicle rules can be viewed</w:t>
      </w:r>
      <w:r w:rsidR="00EB3E63" w:rsidRPr="00B2016D">
        <w:rPr>
          <w:rFonts w:ascii="Arial" w:hAnsi="Arial" w:cs="Arial"/>
        </w:rPr>
        <w:t xml:space="preserve"> here</w:t>
      </w:r>
      <w:r w:rsidRPr="00B2016D">
        <w:rPr>
          <w:rFonts w:ascii="Arial" w:hAnsi="Arial" w:cs="Arial"/>
        </w:rPr>
        <w:t xml:space="preserve">: </w:t>
      </w:r>
      <w:hyperlink r:id="rId13" w:history="1">
        <w:r w:rsidR="00651C2B" w:rsidRPr="00B2016D">
          <w:rPr>
            <w:rStyle w:val="Hyperlink"/>
            <w:rFonts w:ascii="Arial" w:hAnsi="Arial" w:cs="Arial"/>
          </w:rPr>
          <w:t>https://www.mainroads.wa.gov.au/UsingRoads/HVS/Pages/default.aspx</w:t>
        </w:r>
      </w:hyperlink>
      <w:r w:rsidR="00651C2B" w:rsidRPr="00B2016D">
        <w:rPr>
          <w:rFonts w:ascii="Arial" w:hAnsi="Arial" w:cs="Arial"/>
        </w:rPr>
        <w:t xml:space="preserve"> </w:t>
      </w:r>
    </w:p>
    <w:p w14:paraId="45D862AE" w14:textId="77777777" w:rsidR="0009347D" w:rsidRPr="00B2016D" w:rsidRDefault="00F63037" w:rsidP="00054EDA">
      <w:pPr>
        <w:spacing w:before="240" w:after="240" w:line="360" w:lineRule="auto"/>
        <w:rPr>
          <w:rFonts w:ascii="Arial" w:hAnsi="Arial" w:cs="Arial"/>
        </w:rPr>
      </w:pPr>
      <w:r w:rsidRPr="00B2016D">
        <w:rPr>
          <w:rFonts w:ascii="Arial" w:hAnsi="Arial" w:cs="Arial"/>
        </w:rPr>
        <w:t>Refer also to TSG (John Readings transport partner)</w:t>
      </w:r>
      <w:r w:rsidR="00C2128D" w:rsidRPr="00B2016D">
        <w:rPr>
          <w:rFonts w:ascii="Arial" w:hAnsi="Arial" w:cs="Arial"/>
        </w:rPr>
        <w:t xml:space="preserve"> ‘Fleet Safety CoR Manual’.</w:t>
      </w:r>
    </w:p>
    <w:p w14:paraId="194E8674" w14:textId="77777777" w:rsidR="00BF4CB6" w:rsidRPr="00054EDA" w:rsidRDefault="00BF4CB6" w:rsidP="00054EDA">
      <w:pPr>
        <w:spacing w:before="240" w:after="240" w:line="360" w:lineRule="auto"/>
        <w:rPr>
          <w:rFonts w:ascii="Arial" w:hAnsi="Arial" w:cs="Arial"/>
        </w:rPr>
      </w:pPr>
    </w:p>
    <w:tbl>
      <w:tblPr>
        <w:tblStyle w:val="TableGrid"/>
        <w:tblW w:w="9351" w:type="dxa"/>
        <w:tblLook w:val="04A0" w:firstRow="1" w:lastRow="0" w:firstColumn="1" w:lastColumn="0" w:noHBand="0" w:noVBand="1"/>
      </w:tblPr>
      <w:tblGrid>
        <w:gridCol w:w="3256"/>
        <w:gridCol w:w="2409"/>
        <w:gridCol w:w="1097"/>
        <w:gridCol w:w="2589"/>
      </w:tblGrid>
      <w:tr w:rsidR="0009347D" w:rsidRPr="00054EDA" w14:paraId="3926DAAE" w14:textId="77777777" w:rsidTr="0032746D">
        <w:trPr>
          <w:trHeight w:val="976"/>
        </w:trPr>
        <w:tc>
          <w:tcPr>
            <w:tcW w:w="3256" w:type="dxa"/>
            <w:shd w:val="clear" w:color="auto" w:fill="D9D9D9" w:themeFill="background1" w:themeFillShade="D9"/>
          </w:tcPr>
          <w:p w14:paraId="7488D06D" w14:textId="77777777" w:rsidR="0009347D" w:rsidRPr="00054EDA" w:rsidRDefault="0009347D" w:rsidP="00054EDA">
            <w:pPr>
              <w:spacing w:before="240" w:after="240" w:line="360" w:lineRule="auto"/>
              <w:rPr>
                <w:rFonts w:ascii="Arial" w:hAnsi="Arial" w:cs="Arial"/>
              </w:rPr>
            </w:pPr>
            <w:r w:rsidRPr="00054EDA">
              <w:rPr>
                <w:rFonts w:ascii="Arial" w:hAnsi="Arial" w:cs="Arial"/>
              </w:rPr>
              <w:lastRenderedPageBreak/>
              <w:t>Approved by</w:t>
            </w:r>
            <w:r w:rsidR="000571D5" w:rsidRPr="00054EDA">
              <w:rPr>
                <w:rFonts w:ascii="Arial" w:hAnsi="Arial" w:cs="Arial"/>
              </w:rPr>
              <w:t xml:space="preserve"> </w:t>
            </w:r>
            <w:r w:rsidRPr="00054EDA">
              <w:rPr>
                <w:rFonts w:ascii="Arial" w:hAnsi="Arial" w:cs="Arial"/>
              </w:rPr>
              <w:t xml:space="preserve">(insert </w:t>
            </w:r>
            <w:r w:rsidR="000571D5" w:rsidRPr="00054EDA">
              <w:rPr>
                <w:rFonts w:ascii="Arial" w:hAnsi="Arial" w:cs="Arial"/>
              </w:rPr>
              <w:t xml:space="preserve">responsible </w:t>
            </w:r>
            <w:r w:rsidRPr="00054EDA">
              <w:rPr>
                <w:rFonts w:ascii="Arial" w:hAnsi="Arial" w:cs="Arial"/>
              </w:rPr>
              <w:t>Mgr. Name)</w:t>
            </w:r>
          </w:p>
        </w:tc>
        <w:tc>
          <w:tcPr>
            <w:tcW w:w="2409" w:type="dxa"/>
            <w:shd w:val="clear" w:color="auto" w:fill="D9D9D9" w:themeFill="background1" w:themeFillShade="D9"/>
          </w:tcPr>
          <w:p w14:paraId="3FB0DFF5" w14:textId="77777777" w:rsidR="0009347D" w:rsidRPr="00054EDA" w:rsidRDefault="000571D5" w:rsidP="00054EDA">
            <w:pPr>
              <w:spacing w:before="240" w:after="240" w:line="360" w:lineRule="auto"/>
              <w:rPr>
                <w:rFonts w:ascii="Arial" w:hAnsi="Arial" w:cs="Arial"/>
              </w:rPr>
            </w:pPr>
            <w:r w:rsidRPr="00054EDA">
              <w:rPr>
                <w:rFonts w:ascii="Arial" w:hAnsi="Arial" w:cs="Arial"/>
              </w:rPr>
              <w:t>Signature</w:t>
            </w:r>
          </w:p>
        </w:tc>
        <w:tc>
          <w:tcPr>
            <w:tcW w:w="1097" w:type="dxa"/>
            <w:shd w:val="clear" w:color="auto" w:fill="D9D9D9" w:themeFill="background1" w:themeFillShade="D9"/>
          </w:tcPr>
          <w:p w14:paraId="7F8C854E" w14:textId="77777777" w:rsidR="0009347D" w:rsidRPr="00054EDA" w:rsidRDefault="000571D5" w:rsidP="00054EDA">
            <w:pPr>
              <w:spacing w:before="240" w:after="240" w:line="360" w:lineRule="auto"/>
              <w:rPr>
                <w:rFonts w:ascii="Arial" w:hAnsi="Arial" w:cs="Arial"/>
              </w:rPr>
            </w:pPr>
            <w:r w:rsidRPr="00054EDA">
              <w:rPr>
                <w:rFonts w:ascii="Arial" w:hAnsi="Arial" w:cs="Arial"/>
              </w:rPr>
              <w:t>Date</w:t>
            </w:r>
          </w:p>
        </w:tc>
        <w:tc>
          <w:tcPr>
            <w:tcW w:w="2589" w:type="dxa"/>
            <w:shd w:val="clear" w:color="auto" w:fill="D9D9D9" w:themeFill="background1" w:themeFillShade="D9"/>
          </w:tcPr>
          <w:p w14:paraId="4CE2F03B" w14:textId="77777777" w:rsidR="0009347D" w:rsidRPr="00054EDA" w:rsidRDefault="000571D5" w:rsidP="00054EDA">
            <w:pPr>
              <w:spacing w:before="240" w:after="240" w:line="360" w:lineRule="auto"/>
              <w:rPr>
                <w:rFonts w:ascii="Arial" w:hAnsi="Arial" w:cs="Arial"/>
              </w:rPr>
            </w:pPr>
            <w:r w:rsidRPr="00054EDA">
              <w:rPr>
                <w:rFonts w:ascii="Arial" w:hAnsi="Arial" w:cs="Arial"/>
              </w:rPr>
              <w:t>Comments</w:t>
            </w:r>
          </w:p>
        </w:tc>
      </w:tr>
      <w:tr w:rsidR="0009347D" w:rsidRPr="00054EDA" w14:paraId="5436EB0B" w14:textId="77777777" w:rsidTr="0032746D">
        <w:trPr>
          <w:trHeight w:val="993"/>
        </w:trPr>
        <w:tc>
          <w:tcPr>
            <w:tcW w:w="3256" w:type="dxa"/>
          </w:tcPr>
          <w:p w14:paraId="22A0177C" w14:textId="77777777" w:rsidR="0009347D" w:rsidRPr="00054EDA" w:rsidRDefault="0009347D" w:rsidP="00054EDA">
            <w:pPr>
              <w:spacing w:before="240" w:after="240" w:line="360" w:lineRule="auto"/>
              <w:rPr>
                <w:rFonts w:ascii="Arial" w:hAnsi="Arial" w:cs="Arial"/>
              </w:rPr>
            </w:pPr>
          </w:p>
        </w:tc>
        <w:tc>
          <w:tcPr>
            <w:tcW w:w="2409" w:type="dxa"/>
          </w:tcPr>
          <w:p w14:paraId="72B1B474" w14:textId="77777777" w:rsidR="00B83390" w:rsidRPr="00054EDA" w:rsidRDefault="00B83390" w:rsidP="00054EDA">
            <w:pPr>
              <w:spacing w:before="240" w:after="240" w:line="360" w:lineRule="auto"/>
              <w:rPr>
                <w:rFonts w:ascii="Arial" w:hAnsi="Arial" w:cs="Arial"/>
              </w:rPr>
            </w:pPr>
          </w:p>
        </w:tc>
        <w:tc>
          <w:tcPr>
            <w:tcW w:w="1097" w:type="dxa"/>
          </w:tcPr>
          <w:p w14:paraId="2664C020" w14:textId="77777777" w:rsidR="0009347D" w:rsidRPr="00054EDA" w:rsidRDefault="00AF1F7B" w:rsidP="00054EDA">
            <w:pPr>
              <w:spacing w:before="240" w:after="240" w:line="360" w:lineRule="auto"/>
              <w:rPr>
                <w:rFonts w:ascii="Arial" w:hAnsi="Arial" w:cs="Arial"/>
              </w:rPr>
            </w:pPr>
            <w:r w:rsidRPr="00054EDA">
              <w:rPr>
                <w:rFonts w:ascii="Arial" w:hAnsi="Arial" w:cs="Arial"/>
              </w:rPr>
              <w:t>30/10/19</w:t>
            </w:r>
          </w:p>
        </w:tc>
        <w:tc>
          <w:tcPr>
            <w:tcW w:w="2589" w:type="dxa"/>
          </w:tcPr>
          <w:p w14:paraId="022B5A61" w14:textId="77777777" w:rsidR="0009347D" w:rsidRPr="00054EDA" w:rsidRDefault="0009347D" w:rsidP="00054EDA">
            <w:pPr>
              <w:spacing w:before="240" w:after="240" w:line="360" w:lineRule="auto"/>
              <w:rPr>
                <w:rFonts w:ascii="Arial" w:hAnsi="Arial" w:cs="Arial"/>
              </w:rPr>
            </w:pPr>
          </w:p>
        </w:tc>
      </w:tr>
      <w:tr w:rsidR="00882614" w:rsidRPr="00054EDA" w14:paraId="1541E7EC" w14:textId="77777777" w:rsidTr="0032746D">
        <w:trPr>
          <w:trHeight w:val="647"/>
        </w:trPr>
        <w:tc>
          <w:tcPr>
            <w:tcW w:w="9351" w:type="dxa"/>
            <w:gridSpan w:val="4"/>
            <w:shd w:val="clear" w:color="auto" w:fill="D9D9D9" w:themeFill="background1" w:themeFillShade="D9"/>
          </w:tcPr>
          <w:p w14:paraId="59E3DA7E" w14:textId="77777777" w:rsidR="00882614" w:rsidRPr="00054EDA" w:rsidRDefault="00882614" w:rsidP="00054EDA">
            <w:pPr>
              <w:spacing w:before="240" w:after="240" w:line="360" w:lineRule="auto"/>
              <w:rPr>
                <w:rFonts w:ascii="Arial" w:hAnsi="Arial" w:cs="Arial"/>
              </w:rPr>
            </w:pPr>
            <w:r w:rsidRPr="00054EDA">
              <w:rPr>
                <w:rFonts w:ascii="Arial" w:hAnsi="Arial" w:cs="Arial"/>
              </w:rPr>
              <w:t>Review Date</w:t>
            </w:r>
          </w:p>
        </w:tc>
      </w:tr>
      <w:tr w:rsidR="000571D5" w:rsidRPr="00054EDA" w14:paraId="553E5E89" w14:textId="77777777" w:rsidTr="0032746D">
        <w:trPr>
          <w:trHeight w:val="1339"/>
        </w:trPr>
        <w:tc>
          <w:tcPr>
            <w:tcW w:w="3256" w:type="dxa"/>
          </w:tcPr>
          <w:p w14:paraId="1C6AFB8A" w14:textId="77777777" w:rsidR="000571D5" w:rsidRPr="00054EDA" w:rsidRDefault="00AF1F7B" w:rsidP="00054EDA">
            <w:pPr>
              <w:spacing w:before="240" w:after="240" w:line="360" w:lineRule="auto"/>
              <w:jc w:val="center"/>
              <w:rPr>
                <w:rFonts w:ascii="Arial" w:hAnsi="Arial" w:cs="Arial"/>
              </w:rPr>
            </w:pPr>
            <w:r w:rsidRPr="00054EDA">
              <w:rPr>
                <w:rFonts w:ascii="Arial" w:hAnsi="Arial" w:cs="Arial"/>
              </w:rPr>
              <w:t xml:space="preserve">30/10/20                            </w:t>
            </w:r>
            <w:r w:rsidR="00B83390" w:rsidRPr="00054EDA">
              <w:rPr>
                <w:rFonts w:ascii="Arial" w:hAnsi="Arial" w:cs="Arial"/>
              </w:rPr>
              <w:t xml:space="preserve">   </w:t>
            </w:r>
            <w:proofErr w:type="gramStart"/>
            <w:r w:rsidR="00B83390" w:rsidRPr="00054EDA">
              <w:rPr>
                <w:rFonts w:ascii="Arial" w:hAnsi="Arial" w:cs="Arial"/>
              </w:rPr>
              <w:t xml:space="preserve">  </w:t>
            </w:r>
            <w:r w:rsidRPr="00054EDA">
              <w:rPr>
                <w:rFonts w:ascii="Arial" w:hAnsi="Arial" w:cs="Arial"/>
              </w:rPr>
              <w:t xml:space="preserve"> (</w:t>
            </w:r>
            <w:proofErr w:type="gramEnd"/>
            <w:r w:rsidRPr="00054EDA">
              <w:rPr>
                <w:rFonts w:ascii="Arial" w:hAnsi="Arial" w:cs="Arial"/>
              </w:rPr>
              <w:t>or when changes to law occur)</w:t>
            </w:r>
          </w:p>
        </w:tc>
        <w:tc>
          <w:tcPr>
            <w:tcW w:w="2409" w:type="dxa"/>
          </w:tcPr>
          <w:p w14:paraId="4F409674" w14:textId="77777777" w:rsidR="000571D5" w:rsidRPr="002B0D8C" w:rsidRDefault="000571D5" w:rsidP="00054EDA">
            <w:pPr>
              <w:spacing w:before="240" w:after="240" w:line="360" w:lineRule="auto"/>
              <w:rPr>
                <w:rFonts w:ascii="Arial" w:hAnsi="Arial" w:cs="Arial"/>
              </w:rPr>
            </w:pPr>
          </w:p>
        </w:tc>
        <w:tc>
          <w:tcPr>
            <w:tcW w:w="1097" w:type="dxa"/>
          </w:tcPr>
          <w:p w14:paraId="7BD8B841" w14:textId="77777777" w:rsidR="000571D5" w:rsidRPr="00054EDA" w:rsidRDefault="000571D5" w:rsidP="00054EDA">
            <w:pPr>
              <w:spacing w:before="240" w:after="240" w:line="360" w:lineRule="auto"/>
              <w:rPr>
                <w:rFonts w:ascii="Arial" w:hAnsi="Arial" w:cs="Arial"/>
              </w:rPr>
            </w:pPr>
          </w:p>
        </w:tc>
        <w:tc>
          <w:tcPr>
            <w:tcW w:w="2589" w:type="dxa"/>
          </w:tcPr>
          <w:p w14:paraId="442186D4" w14:textId="77777777" w:rsidR="000571D5" w:rsidRPr="00054EDA" w:rsidRDefault="000571D5" w:rsidP="00054EDA">
            <w:pPr>
              <w:spacing w:before="240" w:after="240" w:line="360" w:lineRule="auto"/>
              <w:rPr>
                <w:rFonts w:ascii="Arial" w:hAnsi="Arial" w:cs="Arial"/>
              </w:rPr>
            </w:pPr>
          </w:p>
        </w:tc>
      </w:tr>
    </w:tbl>
    <w:p w14:paraId="54BDA0B5" w14:textId="77777777" w:rsidR="0009347D" w:rsidRPr="00054EDA" w:rsidRDefault="0009347D" w:rsidP="0032746D">
      <w:pPr>
        <w:spacing w:before="240" w:after="240" w:line="360" w:lineRule="auto"/>
        <w:rPr>
          <w:rFonts w:ascii="Arial" w:hAnsi="Arial" w:cs="Arial"/>
        </w:rPr>
      </w:pPr>
    </w:p>
    <w:sectPr w:rsidR="0009347D" w:rsidRPr="00054ED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0FF4A" w14:textId="77777777" w:rsidR="00A316D6" w:rsidRDefault="00A316D6" w:rsidP="002011AD">
      <w:pPr>
        <w:spacing w:after="0" w:line="240" w:lineRule="auto"/>
      </w:pPr>
      <w:r>
        <w:separator/>
      </w:r>
    </w:p>
  </w:endnote>
  <w:endnote w:type="continuationSeparator" w:id="0">
    <w:p w14:paraId="790274AB" w14:textId="77777777" w:rsidR="00A316D6" w:rsidRDefault="00A316D6" w:rsidP="0020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roxima Nova Rg">
    <w:altName w:val="Tahoma"/>
    <w:panose1 w:val="02000506030000020004"/>
    <w:charset w:val="00"/>
    <w:family w:val="modern"/>
    <w:notTrueType/>
    <w:pitch w:val="variable"/>
    <w:sig w:usb0="A00002EF" w:usb1="5000E0F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F9A1" w14:textId="77777777" w:rsidR="0032746D" w:rsidRPr="0032746D" w:rsidRDefault="0032746D" w:rsidP="0032746D">
    <w:pPr>
      <w:pStyle w:val="Footer"/>
      <w:rPr>
        <w:rFonts w:ascii="Arial" w:hAnsi="Arial" w:cs="Arial"/>
        <w:sz w:val="18"/>
        <w:szCs w:val="18"/>
      </w:rPr>
    </w:pPr>
  </w:p>
  <w:p w14:paraId="6427814F" w14:textId="77777777" w:rsidR="0032746D" w:rsidRPr="0032746D" w:rsidRDefault="0032746D" w:rsidP="0032746D">
    <w:pPr>
      <w:pStyle w:val="Footer"/>
      <w:rPr>
        <w:rFonts w:ascii="Arial" w:hAnsi="Arial" w:cs="Arial"/>
        <w:b/>
        <w:bCs/>
        <w:sz w:val="18"/>
        <w:szCs w:val="18"/>
      </w:rPr>
    </w:pPr>
    <w:r w:rsidRPr="0032746D">
      <w:rPr>
        <w:rFonts w:ascii="Arial" w:hAnsi="Arial" w:cs="Arial"/>
        <w:sz w:val="18"/>
        <w:szCs w:val="18"/>
      </w:rPr>
      <w:t xml:space="preserve">©2019 College for Adult Learning TOID 22228                                                     </w:t>
    </w:r>
    <w:r w:rsidRPr="0032746D">
      <w:rPr>
        <w:rFonts w:ascii="Arial" w:hAnsi="Arial" w:cs="Arial"/>
        <w:sz w:val="18"/>
        <w:szCs w:val="18"/>
      </w:rPr>
      <w:tab/>
      <w:t xml:space="preserve">Page </w:t>
    </w:r>
    <w:r w:rsidRPr="0032746D">
      <w:rPr>
        <w:rFonts w:ascii="Arial" w:hAnsi="Arial" w:cs="Arial"/>
        <w:b/>
        <w:bCs/>
        <w:sz w:val="18"/>
        <w:szCs w:val="18"/>
      </w:rPr>
      <w:fldChar w:fldCharType="begin"/>
    </w:r>
    <w:r w:rsidRPr="0032746D">
      <w:rPr>
        <w:rFonts w:ascii="Arial" w:hAnsi="Arial" w:cs="Arial"/>
        <w:b/>
        <w:bCs/>
        <w:sz w:val="18"/>
        <w:szCs w:val="18"/>
      </w:rPr>
      <w:instrText xml:space="preserve"> PAGE  \* Arabic  \* MERGEFORMAT </w:instrText>
    </w:r>
    <w:r w:rsidRPr="0032746D">
      <w:rPr>
        <w:rFonts w:ascii="Arial" w:hAnsi="Arial" w:cs="Arial"/>
        <w:b/>
        <w:bCs/>
        <w:sz w:val="18"/>
        <w:szCs w:val="18"/>
      </w:rPr>
      <w:fldChar w:fldCharType="separate"/>
    </w:r>
    <w:r w:rsidR="0096138B">
      <w:rPr>
        <w:rFonts w:ascii="Arial" w:hAnsi="Arial" w:cs="Arial"/>
        <w:b/>
        <w:bCs/>
        <w:noProof/>
        <w:sz w:val="18"/>
        <w:szCs w:val="18"/>
      </w:rPr>
      <w:t>14</w:t>
    </w:r>
    <w:r w:rsidRPr="0032746D">
      <w:rPr>
        <w:rFonts w:ascii="Arial" w:hAnsi="Arial" w:cs="Arial"/>
        <w:b/>
        <w:bCs/>
        <w:sz w:val="18"/>
        <w:szCs w:val="18"/>
      </w:rPr>
      <w:fldChar w:fldCharType="end"/>
    </w:r>
    <w:r w:rsidRPr="0032746D">
      <w:rPr>
        <w:rFonts w:ascii="Arial" w:hAnsi="Arial" w:cs="Arial"/>
        <w:sz w:val="18"/>
        <w:szCs w:val="18"/>
      </w:rPr>
      <w:t xml:space="preserve"> of </w:t>
    </w:r>
    <w:r w:rsidRPr="0032746D">
      <w:rPr>
        <w:rFonts w:ascii="Arial" w:hAnsi="Arial" w:cs="Arial"/>
        <w:b/>
        <w:bCs/>
        <w:sz w:val="18"/>
        <w:szCs w:val="18"/>
      </w:rPr>
      <w:fldChar w:fldCharType="begin"/>
    </w:r>
    <w:r w:rsidRPr="0032746D">
      <w:rPr>
        <w:rFonts w:ascii="Arial" w:hAnsi="Arial" w:cs="Arial"/>
        <w:b/>
        <w:bCs/>
        <w:sz w:val="18"/>
        <w:szCs w:val="18"/>
      </w:rPr>
      <w:instrText xml:space="preserve"> NUMPAGES  \* Arabic  \* MERGEFORMAT </w:instrText>
    </w:r>
    <w:r w:rsidRPr="0032746D">
      <w:rPr>
        <w:rFonts w:ascii="Arial" w:hAnsi="Arial" w:cs="Arial"/>
        <w:b/>
        <w:bCs/>
        <w:sz w:val="18"/>
        <w:szCs w:val="18"/>
      </w:rPr>
      <w:fldChar w:fldCharType="separate"/>
    </w:r>
    <w:r w:rsidR="0096138B">
      <w:rPr>
        <w:rFonts w:ascii="Arial" w:hAnsi="Arial" w:cs="Arial"/>
        <w:b/>
        <w:bCs/>
        <w:noProof/>
        <w:sz w:val="18"/>
        <w:szCs w:val="18"/>
      </w:rPr>
      <w:t>14</w:t>
    </w:r>
    <w:r w:rsidRPr="0032746D">
      <w:rPr>
        <w:rFonts w:ascii="Arial" w:hAnsi="Arial" w:cs="Arial"/>
        <w:b/>
        <w:bCs/>
        <w:sz w:val="18"/>
        <w:szCs w:val="18"/>
      </w:rPr>
      <w:fldChar w:fldCharType="end"/>
    </w:r>
  </w:p>
  <w:p w14:paraId="5A989C26" w14:textId="77777777" w:rsidR="0032746D" w:rsidRPr="0032746D" w:rsidRDefault="0032746D" w:rsidP="0032746D">
    <w:pPr>
      <w:pStyle w:val="Footer"/>
      <w:rPr>
        <w:rFonts w:ascii="Arial" w:hAnsi="Arial" w:cs="Arial"/>
        <w:b/>
        <w:bCs/>
        <w:sz w:val="18"/>
        <w:szCs w:val="18"/>
      </w:rPr>
    </w:pPr>
  </w:p>
  <w:p w14:paraId="2BAB3F96" w14:textId="77777777" w:rsidR="002011AD" w:rsidRPr="0032746D" w:rsidRDefault="0032746D" w:rsidP="0032746D">
    <w:pPr>
      <w:pStyle w:val="Footer"/>
      <w:spacing w:after="240" w:line="360" w:lineRule="auto"/>
      <w:jc w:val="center"/>
      <w:rPr>
        <w:rFonts w:ascii="Arial" w:hAnsi="Arial" w:cs="Arial"/>
        <w:sz w:val="18"/>
        <w:szCs w:val="18"/>
      </w:rPr>
    </w:pPr>
    <w:r w:rsidRPr="0032746D">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6FD78" w14:textId="77777777" w:rsidR="00A316D6" w:rsidRDefault="00A316D6" w:rsidP="002011AD">
      <w:pPr>
        <w:spacing w:after="0" w:line="240" w:lineRule="auto"/>
      </w:pPr>
      <w:r>
        <w:separator/>
      </w:r>
    </w:p>
  </w:footnote>
  <w:footnote w:type="continuationSeparator" w:id="0">
    <w:p w14:paraId="706900A9" w14:textId="77777777" w:rsidR="00A316D6" w:rsidRDefault="00A316D6" w:rsidP="00201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4F6A" w14:textId="77777777" w:rsidR="002011AD" w:rsidRDefault="003E23B4" w:rsidP="002011AD">
    <w:pPr>
      <w:pStyle w:val="Header"/>
    </w:pPr>
    <w:r>
      <w:rPr>
        <w:noProof/>
        <w:lang w:eastAsia="en-AU"/>
      </w:rPr>
      <mc:AlternateContent>
        <mc:Choice Requires="wps">
          <w:drawing>
            <wp:anchor distT="0" distB="0" distL="114300" distR="114300" simplePos="0" relativeHeight="251659264" behindDoc="0" locked="0" layoutInCell="1" allowOverlap="1" wp14:anchorId="6A966F50" wp14:editId="28394CAC">
              <wp:simplePos x="0" y="0"/>
              <wp:positionH relativeFrom="column">
                <wp:posOffset>-317500</wp:posOffset>
              </wp:positionH>
              <wp:positionV relativeFrom="paragraph">
                <wp:posOffset>-148010</wp:posOffset>
              </wp:positionV>
              <wp:extent cx="3586038" cy="597093"/>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6038" cy="5970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DE333"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r w:rsidRPr="001F4AAB">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t>John Readings</w:t>
                          </w:r>
                          <w:r w:rsidRPr="001F4AAB">
                            <w:rPr>
                              <w:rFonts w:ascii="Arial Black" w:hAnsi="Arial Black"/>
                              <w:color w:val="C00000"/>
                              <w:sz w:val="56"/>
                              <w:szCs w:val="56"/>
                              <w14:props3d w14:extrusionH="99999" w14:contourW="0" w14:prstMaterial="legacyMatte">
                                <w14:extrusionClr>
                                  <w14:srgbClr w14:val="663300"/>
                                </w14:extrusionClr>
                                <w14:contourClr>
                                  <w14:srgbClr w14:val="FFCC99"/>
                                </w14:contourClr>
                              </w14:props3d>
                            </w:rPr>
                            <w:t xml:space="preserve"> </w:t>
                          </w:r>
                          <w:r w:rsidRPr="001F4AAB">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t>Pty Ltd</w:t>
                          </w:r>
                        </w:p>
                        <w:p w14:paraId="52C1D080"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7068A872"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7A131778"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497852C0"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280B68D7"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58C1D8D2"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1FA7CC87"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035E2187" w14:textId="77777777" w:rsidR="002011AD" w:rsidRPr="001F4AAB"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4D38DA49" w14:textId="77777777" w:rsidR="002011AD" w:rsidRDefault="002011AD" w:rsidP="00201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66F50" id="_x0000_t202" coordsize="21600,21600" o:spt="202" path="m,l,21600r21600,l21600,xe">
              <v:stroke joinstyle="miter"/>
              <v:path gradientshapeok="t" o:connecttype="rect"/>
            </v:shapetype>
            <v:shape id="Text Box 2" o:spid="_x0000_s1026" type="#_x0000_t202" style="position:absolute;margin-left:-25pt;margin-top:-11.65pt;width:282.3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" filled="f" stroked="f" strokeweight=".5pt">
              <v:textbox>
                <w:txbxContent>
                  <w:p w14:paraId="1FBDE333"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r w:rsidRPr="001F4AAB">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t>John Readings</w:t>
                    </w:r>
                    <w:r w:rsidRPr="001F4AAB">
                      <w:rPr>
                        <w:rFonts w:ascii="Arial Black" w:hAnsi="Arial Black"/>
                        <w:color w:val="C00000"/>
                        <w:sz w:val="56"/>
                        <w:szCs w:val="56"/>
                        <w14:props3d w14:extrusionH="99999" w14:contourW="0" w14:prstMaterial="legacyMatte">
                          <w14:extrusionClr>
                            <w14:srgbClr w14:val="663300"/>
                          </w14:extrusionClr>
                          <w14:contourClr>
                            <w14:srgbClr w14:val="FFCC99"/>
                          </w14:contourClr>
                        </w14:props3d>
                      </w:rPr>
                      <w:t xml:space="preserve"> </w:t>
                    </w:r>
                    <w:r w:rsidRPr="001F4AAB">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t>Pty Ltd</w:t>
                    </w:r>
                  </w:p>
                  <w:p w14:paraId="52C1D080"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7068A872"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7A131778"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497852C0"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280B68D7"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58C1D8D2"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1FA7CC87" w14:textId="77777777" w:rsidR="002011AD"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035E2187" w14:textId="77777777" w:rsidR="002011AD" w:rsidRPr="001F4AAB" w:rsidRDefault="002011AD" w:rsidP="002011AD">
                    <w:pPr>
                      <w:pStyle w:val="NormalWeb"/>
                      <w:spacing w:before="0" w:beforeAutospacing="0" w:after="0" w:afterAutospacing="0"/>
                      <w:jc w:val="center"/>
                      <w:rPr>
                        <w:rFonts w:ascii="Proxima Nova Rg" w:hAnsi="Proxima Nova Rg"/>
                        <w:color w:val="C00000"/>
                        <w:sz w:val="56"/>
                        <w:szCs w:val="56"/>
                        <w14:props3d w14:extrusionH="99999" w14:contourW="0" w14:prstMaterial="legacyMatte">
                          <w14:extrusionClr>
                            <w14:srgbClr w14:val="663300"/>
                          </w14:extrusionClr>
                          <w14:contourClr>
                            <w14:srgbClr w14:val="FFCC99"/>
                          </w14:contourClr>
                        </w14:props3d>
                      </w:rPr>
                    </w:pPr>
                  </w:p>
                  <w:p w14:paraId="4D38DA49" w14:textId="77777777" w:rsidR="002011AD" w:rsidRDefault="002011AD" w:rsidP="002011AD"/>
                </w:txbxContent>
              </v:textbox>
            </v:shape>
          </w:pict>
        </mc:Fallback>
      </mc:AlternateContent>
    </w:r>
    <w:r>
      <w:rPr>
        <w:noProof/>
        <w:lang w:eastAsia="en-AU"/>
      </w:rPr>
      <w:drawing>
        <wp:anchor distT="0" distB="0" distL="114300" distR="114300" simplePos="0" relativeHeight="251660288" behindDoc="1" locked="0" layoutInCell="1" allowOverlap="1" wp14:anchorId="393F1895" wp14:editId="449EEB83">
          <wp:simplePos x="0" y="0"/>
          <wp:positionH relativeFrom="column">
            <wp:posOffset>3738439</wp:posOffset>
          </wp:positionH>
          <wp:positionV relativeFrom="paragraph">
            <wp:posOffset>-249941</wp:posOffset>
          </wp:positionV>
          <wp:extent cx="2074545" cy="697865"/>
          <wp:effectExtent l="152400" t="152400" r="363855" b="3689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work-frieze.jpg"/>
                  <pic:cNvPicPr/>
                </pic:nvPicPr>
                <pic:blipFill>
                  <a:blip r:embed="rId1">
                    <a:extLst>
                      <a:ext uri="{28A0092B-C50C-407E-A947-70E740481C1C}">
                        <a14:useLocalDpi xmlns:a14="http://schemas.microsoft.com/office/drawing/2010/main" val="0"/>
                      </a:ext>
                    </a:extLst>
                  </a:blip>
                  <a:stretch>
                    <a:fillRect/>
                  </a:stretch>
                </pic:blipFill>
                <pic:spPr>
                  <a:xfrm>
                    <a:off x="0" y="0"/>
                    <a:ext cx="2074545" cy="697865"/>
                  </a:xfrm>
                  <a:prstGeom prst="rect">
                    <a:avLst/>
                  </a:prstGeom>
                  <a:ln>
                    <a:noFill/>
                  </a:ln>
                  <a:effectLst>
                    <a:outerShdw blurRad="292100" dist="139700" dir="2700000" algn="tl" rotWithShape="0">
                      <a:srgbClr val="333333">
                        <a:alpha val="65000"/>
                      </a:srgbClr>
                    </a:outerShdw>
                  </a:effectLst>
                </pic:spPr>
              </pic:pic>
            </a:graphicData>
          </a:graphic>
        </wp:anchor>
      </w:drawing>
    </w:r>
  </w:p>
  <w:p w14:paraId="44397DBC" w14:textId="77777777" w:rsidR="002011AD" w:rsidRDefault="00201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025"/>
    <w:multiLevelType w:val="hybridMultilevel"/>
    <w:tmpl w:val="8098C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22C43"/>
    <w:multiLevelType w:val="hybridMultilevel"/>
    <w:tmpl w:val="855C7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C53C5"/>
    <w:multiLevelType w:val="hybridMultilevel"/>
    <w:tmpl w:val="CED09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74D0D"/>
    <w:multiLevelType w:val="hybridMultilevel"/>
    <w:tmpl w:val="6298CF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83C68E9"/>
    <w:multiLevelType w:val="hybridMultilevel"/>
    <w:tmpl w:val="FDAAF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843226"/>
    <w:multiLevelType w:val="hybridMultilevel"/>
    <w:tmpl w:val="40683A52"/>
    <w:lvl w:ilvl="0" w:tplc="4B5ED902">
      <w:start w:val="1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663C01"/>
    <w:multiLevelType w:val="hybridMultilevel"/>
    <w:tmpl w:val="892031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D7E113E"/>
    <w:multiLevelType w:val="hybridMultilevel"/>
    <w:tmpl w:val="690C744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5014B61"/>
    <w:multiLevelType w:val="hybridMultilevel"/>
    <w:tmpl w:val="F62C9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91309E"/>
    <w:multiLevelType w:val="hybridMultilevel"/>
    <w:tmpl w:val="9AE49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19400B"/>
    <w:multiLevelType w:val="hybridMultilevel"/>
    <w:tmpl w:val="67DCF7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534C5C"/>
    <w:multiLevelType w:val="hybridMultilevel"/>
    <w:tmpl w:val="5568E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983BB3"/>
    <w:multiLevelType w:val="hybridMultilevel"/>
    <w:tmpl w:val="26ACF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3A7EBA"/>
    <w:multiLevelType w:val="hybridMultilevel"/>
    <w:tmpl w:val="EE6A1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762F3"/>
    <w:multiLevelType w:val="hybridMultilevel"/>
    <w:tmpl w:val="C184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802DE9"/>
    <w:multiLevelType w:val="hybridMultilevel"/>
    <w:tmpl w:val="17F0C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115A6D"/>
    <w:multiLevelType w:val="hybridMultilevel"/>
    <w:tmpl w:val="9C8A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C95553"/>
    <w:multiLevelType w:val="hybridMultilevel"/>
    <w:tmpl w:val="32DEB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D42A89"/>
    <w:multiLevelType w:val="hybridMultilevel"/>
    <w:tmpl w:val="E53239C0"/>
    <w:lvl w:ilvl="0" w:tplc="4B5ED902">
      <w:start w:val="1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CD2887"/>
    <w:multiLevelType w:val="hybridMultilevel"/>
    <w:tmpl w:val="13DE948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8"/>
  </w:num>
  <w:num w:numId="4">
    <w:abstractNumId w:val="5"/>
  </w:num>
  <w:num w:numId="5">
    <w:abstractNumId w:val="3"/>
  </w:num>
  <w:num w:numId="6">
    <w:abstractNumId w:val="6"/>
  </w:num>
  <w:num w:numId="7">
    <w:abstractNumId w:val="16"/>
  </w:num>
  <w:num w:numId="8">
    <w:abstractNumId w:val="13"/>
  </w:num>
  <w:num w:numId="9">
    <w:abstractNumId w:val="4"/>
  </w:num>
  <w:num w:numId="10">
    <w:abstractNumId w:val="2"/>
  </w:num>
  <w:num w:numId="11">
    <w:abstractNumId w:val="14"/>
  </w:num>
  <w:num w:numId="12">
    <w:abstractNumId w:val="1"/>
  </w:num>
  <w:num w:numId="13">
    <w:abstractNumId w:val="17"/>
  </w:num>
  <w:num w:numId="14">
    <w:abstractNumId w:val="10"/>
  </w:num>
  <w:num w:numId="15">
    <w:abstractNumId w:val="19"/>
  </w:num>
  <w:num w:numId="16">
    <w:abstractNumId w:val="7"/>
  </w:num>
  <w:num w:numId="17">
    <w:abstractNumId w:val="0"/>
  </w:num>
  <w:num w:numId="18">
    <w:abstractNumId w:val="8"/>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2931e+VLhAA58KdqnmHLKiH9bMga3AL5sAECJ2QsPIIZ7vQORpAtYIrdA4zkyn/nJBTP18w6n80QZ02ueDpKg==" w:salt="kZ8HK3edsHht5r0VpDvW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DB"/>
    <w:rsid w:val="000018A4"/>
    <w:rsid w:val="00046FD6"/>
    <w:rsid w:val="00054EDA"/>
    <w:rsid w:val="000571D5"/>
    <w:rsid w:val="000650B1"/>
    <w:rsid w:val="000720FA"/>
    <w:rsid w:val="0009347D"/>
    <w:rsid w:val="000D3836"/>
    <w:rsid w:val="000D4677"/>
    <w:rsid w:val="000E019B"/>
    <w:rsid w:val="0010723B"/>
    <w:rsid w:val="00111499"/>
    <w:rsid w:val="0012636C"/>
    <w:rsid w:val="00133A04"/>
    <w:rsid w:val="00145DBC"/>
    <w:rsid w:val="001722A7"/>
    <w:rsid w:val="00173695"/>
    <w:rsid w:val="002011AD"/>
    <w:rsid w:val="00211EF2"/>
    <w:rsid w:val="00214201"/>
    <w:rsid w:val="00220EAD"/>
    <w:rsid w:val="00223847"/>
    <w:rsid w:val="00224D76"/>
    <w:rsid w:val="002427F1"/>
    <w:rsid w:val="002B0D8C"/>
    <w:rsid w:val="0032746D"/>
    <w:rsid w:val="003626F0"/>
    <w:rsid w:val="00384AC6"/>
    <w:rsid w:val="00385438"/>
    <w:rsid w:val="00391D99"/>
    <w:rsid w:val="003D1BA8"/>
    <w:rsid w:val="003E23B4"/>
    <w:rsid w:val="003F27B4"/>
    <w:rsid w:val="003F2FA0"/>
    <w:rsid w:val="0041156D"/>
    <w:rsid w:val="00435FFC"/>
    <w:rsid w:val="004778B8"/>
    <w:rsid w:val="004D0CBB"/>
    <w:rsid w:val="004E24E0"/>
    <w:rsid w:val="004F16FF"/>
    <w:rsid w:val="005009D1"/>
    <w:rsid w:val="0056527E"/>
    <w:rsid w:val="005A058C"/>
    <w:rsid w:val="005B3555"/>
    <w:rsid w:val="005B79A7"/>
    <w:rsid w:val="005E0EE5"/>
    <w:rsid w:val="005E4F0F"/>
    <w:rsid w:val="005F5222"/>
    <w:rsid w:val="00626B74"/>
    <w:rsid w:val="006351EC"/>
    <w:rsid w:val="006443EB"/>
    <w:rsid w:val="00651C2B"/>
    <w:rsid w:val="00654AC4"/>
    <w:rsid w:val="00673D2D"/>
    <w:rsid w:val="00686768"/>
    <w:rsid w:val="00691AAB"/>
    <w:rsid w:val="006B395E"/>
    <w:rsid w:val="006B62B6"/>
    <w:rsid w:val="006C57E0"/>
    <w:rsid w:val="006D6EF4"/>
    <w:rsid w:val="006E5F37"/>
    <w:rsid w:val="00710383"/>
    <w:rsid w:val="00715501"/>
    <w:rsid w:val="00716884"/>
    <w:rsid w:val="00730EA0"/>
    <w:rsid w:val="00741370"/>
    <w:rsid w:val="00763275"/>
    <w:rsid w:val="007637E2"/>
    <w:rsid w:val="007E306E"/>
    <w:rsid w:val="007F2C88"/>
    <w:rsid w:val="008060E8"/>
    <w:rsid w:val="0084315D"/>
    <w:rsid w:val="00860CCE"/>
    <w:rsid w:val="00877ACB"/>
    <w:rsid w:val="0088201B"/>
    <w:rsid w:val="00882614"/>
    <w:rsid w:val="00884EDC"/>
    <w:rsid w:val="008A3D45"/>
    <w:rsid w:val="008B0DF6"/>
    <w:rsid w:val="008D027A"/>
    <w:rsid w:val="008E0E7E"/>
    <w:rsid w:val="00910DDB"/>
    <w:rsid w:val="00945888"/>
    <w:rsid w:val="0095608F"/>
    <w:rsid w:val="0096138B"/>
    <w:rsid w:val="009B6F2B"/>
    <w:rsid w:val="009E4056"/>
    <w:rsid w:val="009E60C7"/>
    <w:rsid w:val="009E67F8"/>
    <w:rsid w:val="00A316D6"/>
    <w:rsid w:val="00A613F6"/>
    <w:rsid w:val="00A83D15"/>
    <w:rsid w:val="00AB16A9"/>
    <w:rsid w:val="00AB3D41"/>
    <w:rsid w:val="00AC39D1"/>
    <w:rsid w:val="00AD1844"/>
    <w:rsid w:val="00AD3CFF"/>
    <w:rsid w:val="00AF1F7B"/>
    <w:rsid w:val="00B03556"/>
    <w:rsid w:val="00B2016D"/>
    <w:rsid w:val="00B36A18"/>
    <w:rsid w:val="00B72BD9"/>
    <w:rsid w:val="00B81F76"/>
    <w:rsid w:val="00B83390"/>
    <w:rsid w:val="00B84B8C"/>
    <w:rsid w:val="00B934EE"/>
    <w:rsid w:val="00B95E2E"/>
    <w:rsid w:val="00BF2B38"/>
    <w:rsid w:val="00BF3264"/>
    <w:rsid w:val="00BF4CB6"/>
    <w:rsid w:val="00C02752"/>
    <w:rsid w:val="00C2128D"/>
    <w:rsid w:val="00C23F78"/>
    <w:rsid w:val="00C4262A"/>
    <w:rsid w:val="00C52C67"/>
    <w:rsid w:val="00C64993"/>
    <w:rsid w:val="00C849BF"/>
    <w:rsid w:val="00C867FC"/>
    <w:rsid w:val="00C87B04"/>
    <w:rsid w:val="00CA3EF8"/>
    <w:rsid w:val="00CB6E62"/>
    <w:rsid w:val="00CC02E0"/>
    <w:rsid w:val="00CE1DE9"/>
    <w:rsid w:val="00CF3B96"/>
    <w:rsid w:val="00CF4E23"/>
    <w:rsid w:val="00CF7012"/>
    <w:rsid w:val="00D11006"/>
    <w:rsid w:val="00D46A66"/>
    <w:rsid w:val="00D62E4E"/>
    <w:rsid w:val="00DA1F5E"/>
    <w:rsid w:val="00DB21E9"/>
    <w:rsid w:val="00DD6CDC"/>
    <w:rsid w:val="00E216CD"/>
    <w:rsid w:val="00E3079D"/>
    <w:rsid w:val="00E356A6"/>
    <w:rsid w:val="00E428F3"/>
    <w:rsid w:val="00EB3E63"/>
    <w:rsid w:val="00EE56F1"/>
    <w:rsid w:val="00F21018"/>
    <w:rsid w:val="00F32047"/>
    <w:rsid w:val="00F33810"/>
    <w:rsid w:val="00F52698"/>
    <w:rsid w:val="00F56AB3"/>
    <w:rsid w:val="00F63037"/>
    <w:rsid w:val="00F65E2C"/>
    <w:rsid w:val="00F84554"/>
    <w:rsid w:val="00FC2225"/>
    <w:rsid w:val="00FD6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D9A69"/>
  <w15:chartTrackingRefBased/>
  <w15:docId w15:val="{D5ECFB27-E212-4D9A-83B7-CAFF1C29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DB"/>
    <w:pPr>
      <w:ind w:left="720"/>
      <w:contextualSpacing/>
    </w:pPr>
  </w:style>
  <w:style w:type="table" w:styleId="TableGrid">
    <w:name w:val="Table Grid"/>
    <w:basedOn w:val="TableNormal"/>
    <w:uiPriority w:val="39"/>
    <w:rsid w:val="00710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ACB"/>
    <w:rPr>
      <w:color w:val="0563C1" w:themeColor="hyperlink"/>
      <w:u w:val="single"/>
    </w:rPr>
  </w:style>
  <w:style w:type="paragraph" w:styleId="Header">
    <w:name w:val="header"/>
    <w:basedOn w:val="Normal"/>
    <w:link w:val="HeaderChar"/>
    <w:uiPriority w:val="99"/>
    <w:unhideWhenUsed/>
    <w:rsid w:val="00201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1AD"/>
  </w:style>
  <w:style w:type="paragraph" w:styleId="Footer">
    <w:name w:val="footer"/>
    <w:basedOn w:val="Normal"/>
    <w:link w:val="FooterChar"/>
    <w:uiPriority w:val="99"/>
    <w:unhideWhenUsed/>
    <w:rsid w:val="00201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1AD"/>
  </w:style>
  <w:style w:type="paragraph" w:styleId="NormalWeb">
    <w:name w:val="Normal (Web)"/>
    <w:basedOn w:val="Normal"/>
    <w:uiPriority w:val="99"/>
    <w:unhideWhenUsed/>
    <w:rsid w:val="002011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41156D"/>
    <w:rPr>
      <w:color w:val="605E5C"/>
      <w:shd w:val="clear" w:color="auto" w:fill="E1DFDD"/>
    </w:rPr>
  </w:style>
  <w:style w:type="character" w:styleId="CommentReference">
    <w:name w:val="annotation reference"/>
    <w:basedOn w:val="DefaultParagraphFont"/>
    <w:uiPriority w:val="99"/>
    <w:semiHidden/>
    <w:unhideWhenUsed/>
    <w:rsid w:val="00D62E4E"/>
    <w:rPr>
      <w:sz w:val="16"/>
      <w:szCs w:val="16"/>
    </w:rPr>
  </w:style>
  <w:style w:type="paragraph" w:styleId="CommentText">
    <w:name w:val="annotation text"/>
    <w:basedOn w:val="Normal"/>
    <w:link w:val="CommentTextChar"/>
    <w:uiPriority w:val="99"/>
    <w:semiHidden/>
    <w:unhideWhenUsed/>
    <w:rsid w:val="00D62E4E"/>
    <w:pPr>
      <w:spacing w:line="240" w:lineRule="auto"/>
    </w:pPr>
    <w:rPr>
      <w:sz w:val="20"/>
      <w:szCs w:val="20"/>
    </w:rPr>
  </w:style>
  <w:style w:type="character" w:customStyle="1" w:styleId="CommentTextChar">
    <w:name w:val="Comment Text Char"/>
    <w:basedOn w:val="DefaultParagraphFont"/>
    <w:link w:val="CommentText"/>
    <w:uiPriority w:val="99"/>
    <w:semiHidden/>
    <w:rsid w:val="00D62E4E"/>
    <w:rPr>
      <w:sz w:val="20"/>
      <w:szCs w:val="20"/>
    </w:rPr>
  </w:style>
  <w:style w:type="paragraph" w:styleId="CommentSubject">
    <w:name w:val="annotation subject"/>
    <w:basedOn w:val="CommentText"/>
    <w:next w:val="CommentText"/>
    <w:link w:val="CommentSubjectChar"/>
    <w:uiPriority w:val="99"/>
    <w:semiHidden/>
    <w:unhideWhenUsed/>
    <w:rsid w:val="00D62E4E"/>
    <w:rPr>
      <w:b/>
      <w:bCs/>
    </w:rPr>
  </w:style>
  <w:style w:type="character" w:customStyle="1" w:styleId="CommentSubjectChar">
    <w:name w:val="Comment Subject Char"/>
    <w:basedOn w:val="CommentTextChar"/>
    <w:link w:val="CommentSubject"/>
    <w:uiPriority w:val="99"/>
    <w:semiHidden/>
    <w:rsid w:val="00D62E4E"/>
    <w:rPr>
      <w:b/>
      <w:bCs/>
      <w:sz w:val="20"/>
      <w:szCs w:val="20"/>
    </w:rPr>
  </w:style>
  <w:style w:type="paragraph" w:styleId="BalloonText">
    <w:name w:val="Balloon Text"/>
    <w:basedOn w:val="Normal"/>
    <w:link w:val="BalloonTextChar"/>
    <w:uiPriority w:val="99"/>
    <w:semiHidden/>
    <w:unhideWhenUsed/>
    <w:rsid w:val="00D62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4E"/>
    <w:rPr>
      <w:rFonts w:ascii="Segoe UI" w:hAnsi="Segoe UI" w:cs="Segoe UI"/>
      <w:sz w:val="18"/>
      <w:szCs w:val="18"/>
    </w:rPr>
  </w:style>
  <w:style w:type="character" w:styleId="FollowedHyperlink">
    <w:name w:val="FollowedHyperlink"/>
    <w:basedOn w:val="DefaultParagraphFont"/>
    <w:uiPriority w:val="99"/>
    <w:semiHidden/>
    <w:unhideWhenUsed/>
    <w:rsid w:val="00651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vr.gov.au/safety-accreditation-compliance" TargetMode="External"/><Relationship Id="rId13" Type="http://schemas.openxmlformats.org/officeDocument/2006/relationships/hyperlink" Target="https://www.mainroads.wa.gov.au/UsingRoads/HVS/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roads.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c.gov.au/sites/default/files/assets/files/Load-Restraint-Guide-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ms.nsw.gov.au/documents/roads/licence/heavy-vehicle-driver-handbook.pdf" TargetMode="External"/><Relationship Id="rId4" Type="http://schemas.openxmlformats.org/officeDocument/2006/relationships/settings" Target="settings.xml"/><Relationship Id="rId9" Type="http://schemas.openxmlformats.org/officeDocument/2006/relationships/hyperlink" Target="http://www.ntc.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C8EC-B3CD-4FDB-87FA-594EAF64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John Readings Chain of Responsibility Policy</vt:lpstr>
    </vt:vector>
  </TitlesOfParts>
  <Company>College for Adult Learning</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Readings Chain of Responsibility Policy</dc:title>
  <dc:subject>CoR</dc:subject>
  <dc:creator>Helen Sabell</dc:creator>
  <cp:keywords/>
  <dc:description/>
  <cp:lastModifiedBy>Gene2013</cp:lastModifiedBy>
  <cp:revision>10</cp:revision>
  <dcterms:created xsi:type="dcterms:W3CDTF">2019-10-07T02:56:00Z</dcterms:created>
  <dcterms:modified xsi:type="dcterms:W3CDTF">2019-10-08T02:03:00Z</dcterms:modified>
  <cp:category>Case Study Documents</cp:category>
</cp:coreProperties>
</file>