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C784" w14:textId="77777777" w:rsidR="0017273B" w:rsidRPr="00D533C5" w:rsidRDefault="008340EC" w:rsidP="008340EC">
      <w:pPr>
        <w:spacing w:line="360" w:lineRule="auto"/>
        <w:rPr>
          <w:rFonts w:ascii="Arial" w:hAnsi="Arial" w:cs="Arial"/>
          <w:b/>
          <w:noProof/>
          <w:sz w:val="36"/>
          <w:szCs w:val="36"/>
        </w:rPr>
      </w:pPr>
      <w:r w:rsidRPr="00D533C5">
        <w:rPr>
          <w:rFonts w:ascii="Arial" w:hAnsi="Arial" w:cs="Arial"/>
          <w:b/>
          <w:noProof/>
          <w:sz w:val="36"/>
          <w:szCs w:val="36"/>
        </w:rPr>
        <w:t xml:space="preserve">Risk </w:t>
      </w:r>
      <w:r w:rsidR="00D533C5" w:rsidRPr="00D533C5">
        <w:rPr>
          <w:rFonts w:ascii="Arial" w:hAnsi="Arial" w:cs="Arial"/>
          <w:b/>
          <w:noProof/>
          <w:sz w:val="36"/>
          <w:szCs w:val="36"/>
        </w:rPr>
        <w:t>Management Strategy</w:t>
      </w:r>
    </w:p>
    <w:p w14:paraId="12A2E634" w14:textId="77777777" w:rsidR="008340EC" w:rsidRPr="008340EC" w:rsidRDefault="008340EC" w:rsidP="008340EC">
      <w:pPr>
        <w:pStyle w:val="Heading3"/>
        <w:spacing w:line="360" w:lineRule="auto"/>
        <w:rPr>
          <w:rFonts w:ascii="Arial" w:hAnsi="Arial"/>
          <w:lang w:val="en-AU"/>
        </w:rPr>
      </w:pPr>
      <w:r w:rsidRPr="008340EC">
        <w:rPr>
          <w:rFonts w:ascii="Arial" w:hAnsi="Arial"/>
          <w:lang w:val="en-AU"/>
        </w:rPr>
        <w:t>Introduction</w:t>
      </w:r>
    </w:p>
    <w:p w14:paraId="0E6604CD" w14:textId="77777777" w:rsidR="008340EC" w:rsidRPr="008340EC" w:rsidRDefault="00E77984" w:rsidP="008340EC">
      <w:pPr>
        <w:spacing w:after="200" w:line="360" w:lineRule="auto"/>
        <w:rPr>
          <w:rFonts w:ascii="Arial" w:hAnsi="Arial" w:cs="Arial"/>
        </w:rPr>
      </w:pPr>
      <w:r>
        <w:rPr>
          <w:rFonts w:ascii="Arial" w:hAnsi="Arial" w:cs="Arial"/>
        </w:rPr>
        <w:t>The Book Café Group (BCG)</w:t>
      </w:r>
      <w:r w:rsidRPr="00E86CCE">
        <w:rPr>
          <w:rFonts w:ascii="Arial" w:hAnsi="Arial" w:cs="Arial"/>
        </w:rPr>
        <w:t xml:space="preserve"> </w:t>
      </w:r>
      <w:r w:rsidR="008340EC" w:rsidRPr="008340EC">
        <w:rPr>
          <w:rFonts w:ascii="Arial" w:hAnsi="Arial" w:cs="Arial"/>
        </w:rPr>
        <w:t>recognises that risk management is an essential component of good management practice and is committed to the proactive management of risks across the organisation. The strategy is designed to:</w:t>
      </w:r>
    </w:p>
    <w:p w14:paraId="7AD2F0E1" w14:textId="77777777" w:rsidR="008340EC" w:rsidRPr="008340EC" w:rsidRDefault="00E77984" w:rsidP="008340EC">
      <w:pPr>
        <w:pStyle w:val="ListParagraph"/>
        <w:numPr>
          <w:ilvl w:val="0"/>
          <w:numId w:val="1"/>
        </w:numPr>
        <w:spacing w:line="360" w:lineRule="auto"/>
        <w:rPr>
          <w:rFonts w:ascii="Arial" w:hAnsi="Arial" w:cs="Arial"/>
          <w:lang w:val="en-AU"/>
        </w:rPr>
      </w:pPr>
      <w:r w:rsidRPr="008340EC">
        <w:rPr>
          <w:rFonts w:ascii="Arial" w:hAnsi="Arial" w:cs="Arial"/>
          <w:lang w:val="en-AU"/>
        </w:rPr>
        <w:t>Identify, evaluate, control and manage risks</w:t>
      </w:r>
    </w:p>
    <w:p w14:paraId="096FE1BA" w14:textId="77777777" w:rsidR="008340EC" w:rsidRPr="008340EC" w:rsidRDefault="00E77984" w:rsidP="008340EC">
      <w:pPr>
        <w:pStyle w:val="ListParagraph"/>
        <w:numPr>
          <w:ilvl w:val="0"/>
          <w:numId w:val="1"/>
        </w:numPr>
        <w:spacing w:line="360" w:lineRule="auto"/>
        <w:rPr>
          <w:rFonts w:ascii="Arial" w:hAnsi="Arial" w:cs="Arial"/>
          <w:lang w:val="en-AU"/>
        </w:rPr>
      </w:pPr>
      <w:r w:rsidRPr="008340EC">
        <w:rPr>
          <w:rFonts w:ascii="Arial" w:hAnsi="Arial" w:cs="Arial"/>
          <w:lang w:val="en-AU"/>
        </w:rPr>
        <w:t>Ensure potential threats and opportunities are identified and managed</w:t>
      </w:r>
    </w:p>
    <w:p w14:paraId="243344F5" w14:textId="77777777" w:rsidR="008340EC" w:rsidRPr="008340EC" w:rsidRDefault="00E77984"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Inform </w:t>
      </w:r>
      <w:r>
        <w:rPr>
          <w:rFonts w:ascii="Arial" w:hAnsi="Arial" w:cs="Arial"/>
          <w:lang w:val="en-AU"/>
        </w:rPr>
        <w:t>the Board</w:t>
      </w:r>
      <w:r w:rsidR="008340EC" w:rsidRPr="008340EC">
        <w:rPr>
          <w:rFonts w:ascii="Arial" w:hAnsi="Arial" w:cs="Arial"/>
          <w:lang w:val="en-AU"/>
        </w:rPr>
        <w:t>, senior management and staff members about their roles, responsibilities and reporting procedures with regards to risk management</w:t>
      </w:r>
    </w:p>
    <w:p w14:paraId="5DE9412C" w14:textId="77777777" w:rsidR="008340EC" w:rsidRPr="008340EC" w:rsidRDefault="00E77984"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Ensure </w:t>
      </w:r>
      <w:r w:rsidR="008340EC" w:rsidRPr="008340EC">
        <w:rPr>
          <w:rFonts w:ascii="Arial" w:hAnsi="Arial" w:cs="Arial"/>
          <w:lang w:val="en-AU"/>
        </w:rPr>
        <w:t>risk management is an integral part of planning at all levels of the organisation.</w:t>
      </w:r>
    </w:p>
    <w:p w14:paraId="58760A7A" w14:textId="77777777" w:rsidR="008340EC" w:rsidRPr="008340EC" w:rsidRDefault="008340EC" w:rsidP="008340EC">
      <w:pPr>
        <w:pStyle w:val="Heading3"/>
        <w:spacing w:line="360" w:lineRule="auto"/>
        <w:rPr>
          <w:rFonts w:ascii="Arial" w:hAnsi="Arial"/>
          <w:lang w:val="en-AU"/>
        </w:rPr>
      </w:pPr>
      <w:r w:rsidRPr="008340EC">
        <w:rPr>
          <w:rFonts w:ascii="Arial" w:hAnsi="Arial"/>
          <w:lang w:val="en-AU"/>
        </w:rPr>
        <w:t>Guiding Principles</w:t>
      </w:r>
    </w:p>
    <w:p w14:paraId="437CCDD3" w14:textId="77777777" w:rsidR="008340EC" w:rsidRPr="008340EC" w:rsidRDefault="00E77984" w:rsidP="008340EC">
      <w:pPr>
        <w:pStyle w:val="ListParagraph"/>
        <w:numPr>
          <w:ilvl w:val="0"/>
          <w:numId w:val="1"/>
        </w:numPr>
        <w:spacing w:line="360" w:lineRule="auto"/>
        <w:rPr>
          <w:rFonts w:ascii="Arial" w:hAnsi="Arial" w:cs="Arial"/>
          <w:lang w:val="en-AU"/>
        </w:rPr>
      </w:pPr>
      <w:r>
        <w:rPr>
          <w:rFonts w:ascii="Arial" w:hAnsi="Arial" w:cs="Arial"/>
          <w:lang w:val="en-AU"/>
        </w:rPr>
        <w:t>BCG</w:t>
      </w:r>
      <w:r w:rsidR="008340EC" w:rsidRPr="008340EC">
        <w:rPr>
          <w:rFonts w:ascii="Arial" w:hAnsi="Arial" w:cs="Arial"/>
          <w:lang w:val="en-AU"/>
        </w:rPr>
        <w:t xml:space="preserve"> is committed to achieving its vision, business objectives and quality objectives by the proactive management of risk at all levels of the organisation</w:t>
      </w:r>
      <w:r w:rsidR="008340EC" w:rsidRPr="008340EC">
        <w:rPr>
          <w:rFonts w:ascii="Arial" w:hAnsi="Arial" w:cs="Arial"/>
          <w:i/>
          <w:lang w:val="en-AU"/>
        </w:rPr>
        <w:t xml:space="preserve">, </w:t>
      </w:r>
      <w:r w:rsidR="008340EC" w:rsidRPr="008340EC">
        <w:rPr>
          <w:rFonts w:ascii="Arial" w:hAnsi="Arial" w:cs="Arial"/>
          <w:lang w:val="en-AU"/>
        </w:rPr>
        <w:t>acknowledging that embracing innovative ideas and practices carries with it risks, but that these are identifiable and measurable and therefore capable of being subject to realistic risk mitigation processes.</w:t>
      </w:r>
    </w:p>
    <w:p w14:paraId="25F0F9E3" w14:textId="77777777" w:rsidR="008340EC" w:rsidRPr="008340EC" w:rsidRDefault="008340EC" w:rsidP="008340EC">
      <w:pPr>
        <w:pStyle w:val="Heading3"/>
        <w:spacing w:line="360" w:lineRule="auto"/>
        <w:rPr>
          <w:rFonts w:ascii="Arial" w:hAnsi="Arial"/>
          <w:lang w:val="en-AU"/>
        </w:rPr>
      </w:pPr>
      <w:r w:rsidRPr="008340EC">
        <w:rPr>
          <w:rFonts w:ascii="Arial" w:hAnsi="Arial"/>
          <w:lang w:val="en-AU"/>
        </w:rPr>
        <w:t>Responsibility and Authority</w:t>
      </w:r>
    </w:p>
    <w:p w14:paraId="28AF31F6"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The Board </w:t>
      </w:r>
      <w:r w:rsidR="00D07900">
        <w:rPr>
          <w:rFonts w:ascii="Arial" w:hAnsi="Arial" w:cs="Arial"/>
          <w:lang w:val="en-AU"/>
        </w:rPr>
        <w:t>has</w:t>
      </w:r>
      <w:r w:rsidRPr="008340EC">
        <w:rPr>
          <w:rFonts w:ascii="Arial" w:hAnsi="Arial" w:cs="Arial"/>
          <w:lang w:val="en-AU"/>
        </w:rPr>
        <w:t xml:space="preserve"> responsibility for ensuring that risk management is in place.</w:t>
      </w:r>
    </w:p>
    <w:p w14:paraId="641C828E"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The Finance, Audit and Risk Management (FARM) Committee has the responsibility of reviewing the Risk Management Action Plan on a six-monthly basis.</w:t>
      </w:r>
    </w:p>
    <w:p w14:paraId="34C979C6"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The CEO and the senior management team have responsibility for managing risk and advising the Board on appropriate controls.</w:t>
      </w:r>
    </w:p>
    <w:p w14:paraId="305161E5"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The CEO and the senior management team support and implement policies approved by the </w:t>
      </w:r>
      <w:r w:rsidR="009756E4">
        <w:rPr>
          <w:rFonts w:ascii="Arial" w:hAnsi="Arial" w:cs="Arial"/>
          <w:lang w:val="en-AU"/>
        </w:rPr>
        <w:t>Board</w:t>
      </w:r>
    </w:p>
    <w:p w14:paraId="3D25542D"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Key risk indicators will be identified</w:t>
      </w:r>
      <w:r w:rsidRPr="008340EC">
        <w:rPr>
          <w:rFonts w:ascii="Arial" w:hAnsi="Arial" w:cs="Arial"/>
          <w:i/>
          <w:lang w:val="en-AU"/>
        </w:rPr>
        <w:t>,</w:t>
      </w:r>
      <w:r w:rsidRPr="008340EC">
        <w:rPr>
          <w:rFonts w:ascii="Arial" w:hAnsi="Arial" w:cs="Arial"/>
          <w:lang w:val="en-AU"/>
        </w:rPr>
        <w:t xml:space="preserve"> closely monitored and action taken where necessary</w:t>
      </w:r>
      <w:r w:rsidRPr="008340EC">
        <w:rPr>
          <w:rFonts w:ascii="Arial" w:hAnsi="Arial" w:cs="Arial"/>
          <w:i/>
          <w:lang w:val="en-AU"/>
        </w:rPr>
        <w:t xml:space="preserve">, </w:t>
      </w:r>
      <w:r w:rsidRPr="008340EC">
        <w:rPr>
          <w:rFonts w:ascii="Arial" w:hAnsi="Arial" w:cs="Arial"/>
          <w:lang w:val="en-AU"/>
        </w:rPr>
        <w:t xml:space="preserve">by the staff and </w:t>
      </w:r>
      <w:r w:rsidR="009756E4">
        <w:rPr>
          <w:rFonts w:ascii="Arial" w:hAnsi="Arial" w:cs="Arial"/>
          <w:lang w:val="en-AU"/>
        </w:rPr>
        <w:t>Board.</w:t>
      </w:r>
    </w:p>
    <w:p w14:paraId="5C1B0ED9" w14:textId="77777777" w:rsidR="008340EC" w:rsidRPr="008340EC" w:rsidRDefault="00E77984" w:rsidP="008340EC">
      <w:pPr>
        <w:pStyle w:val="Heading3"/>
        <w:spacing w:line="360" w:lineRule="auto"/>
        <w:rPr>
          <w:rFonts w:ascii="Arial" w:hAnsi="Arial"/>
          <w:lang w:val="en-AU"/>
        </w:rPr>
      </w:pPr>
      <w:r>
        <w:rPr>
          <w:rFonts w:ascii="Arial" w:hAnsi="Arial"/>
          <w:lang w:val="en-AU"/>
        </w:rPr>
        <w:lastRenderedPageBreak/>
        <w:t>BCG</w:t>
      </w:r>
      <w:r w:rsidR="008340EC" w:rsidRPr="008340EC">
        <w:rPr>
          <w:rFonts w:ascii="Arial" w:hAnsi="Arial"/>
          <w:lang w:val="en-AU"/>
        </w:rPr>
        <w:t xml:space="preserve"> Risk Management Framework</w:t>
      </w:r>
    </w:p>
    <w:p w14:paraId="15158622" w14:textId="77777777" w:rsidR="008340EC" w:rsidRPr="008340EC" w:rsidRDefault="008340EC" w:rsidP="008340EC">
      <w:pPr>
        <w:spacing w:after="200" w:line="360" w:lineRule="auto"/>
        <w:rPr>
          <w:rFonts w:ascii="Arial" w:hAnsi="Arial" w:cs="Arial"/>
        </w:rPr>
      </w:pPr>
      <w:r w:rsidRPr="008340EC">
        <w:rPr>
          <w:rFonts w:ascii="Arial" w:hAnsi="Arial" w:cs="Arial"/>
        </w:rPr>
        <w:t xml:space="preserve">This framework encompasses a number of elements that together facilitate an effective and efficient operation, enabling </w:t>
      </w:r>
      <w:r w:rsidR="00E77984">
        <w:rPr>
          <w:rFonts w:ascii="Arial" w:hAnsi="Arial" w:cs="Arial"/>
        </w:rPr>
        <w:t>BCG</w:t>
      </w:r>
      <w:r w:rsidRPr="008340EC">
        <w:rPr>
          <w:rFonts w:ascii="Arial" w:hAnsi="Arial" w:cs="Arial"/>
        </w:rPr>
        <w:t xml:space="preserve"> to respond to a variety of operational, financial, commercial and strategic risks. These elements include:</w:t>
      </w:r>
    </w:p>
    <w:p w14:paraId="75C77E05"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Policies and procedures: A series of policies underpin the internal control process. </w:t>
      </w:r>
    </w:p>
    <w:p w14:paraId="013A8473"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Reporting: Decisions to rectify problems are made at regular meetings of the senior management team. </w:t>
      </w:r>
    </w:p>
    <w:p w14:paraId="3CF7E25B" w14:textId="77777777" w:rsidR="008340EC" w:rsidRPr="008340EC" w:rsidRDefault="008340EC" w:rsidP="008340EC">
      <w:pPr>
        <w:pStyle w:val="ListParagraph"/>
        <w:keepNext/>
        <w:keepLines/>
        <w:numPr>
          <w:ilvl w:val="0"/>
          <w:numId w:val="1"/>
        </w:numPr>
        <w:spacing w:line="360" w:lineRule="auto"/>
        <w:ind w:left="568" w:hanging="284"/>
        <w:rPr>
          <w:rFonts w:ascii="Arial" w:hAnsi="Arial" w:cs="Arial"/>
          <w:lang w:val="en-AU"/>
        </w:rPr>
      </w:pPr>
      <w:r w:rsidRPr="008340EC">
        <w:rPr>
          <w:rFonts w:ascii="Arial" w:hAnsi="Arial" w:cs="Arial"/>
          <w:lang w:val="en-AU"/>
        </w:rPr>
        <w:t>Business planning and budgeting: The business planning and budgeting process is used to set objectives, agree on action plans and allocate resources. Progress towards meeting business plan objectives is monitored regularly by the senior management team and by directors at Board meetings. Contingency planning is undertaken as required.</w:t>
      </w:r>
    </w:p>
    <w:p w14:paraId="0CB387D7"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Risk management review: The FARM Committee is required to report at Board meetings on internal controls.</w:t>
      </w:r>
    </w:p>
    <w:p w14:paraId="5E6F0CAF"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CEO: The CEO has responsibility to brief the </w:t>
      </w:r>
      <w:r w:rsidR="00F661FB">
        <w:rPr>
          <w:rFonts w:ascii="Arial" w:hAnsi="Arial" w:cs="Arial"/>
          <w:lang w:val="en-AU"/>
        </w:rPr>
        <w:t>Board</w:t>
      </w:r>
      <w:r w:rsidRPr="008340EC">
        <w:rPr>
          <w:rFonts w:ascii="Arial" w:hAnsi="Arial" w:cs="Arial"/>
          <w:lang w:val="en-AU"/>
        </w:rPr>
        <w:t xml:space="preserve"> periodically and as appropriate on the development of policies and procedures to ensure effective and efficient operations, risk management strategies and implementation. </w:t>
      </w:r>
    </w:p>
    <w:p w14:paraId="65467DA6" w14:textId="77777777" w:rsidR="008340EC" w:rsidRPr="008340EC" w:rsidRDefault="008340EC" w:rsidP="008340EC">
      <w:pPr>
        <w:pStyle w:val="ListParagraph"/>
        <w:numPr>
          <w:ilvl w:val="0"/>
          <w:numId w:val="1"/>
        </w:numPr>
        <w:spacing w:line="360" w:lineRule="auto"/>
        <w:rPr>
          <w:rFonts w:ascii="Arial" w:hAnsi="Arial" w:cs="Arial"/>
          <w:lang w:val="en-AU"/>
        </w:rPr>
      </w:pPr>
      <w:r w:rsidRPr="008340EC">
        <w:rPr>
          <w:rFonts w:ascii="Arial" w:hAnsi="Arial" w:cs="Arial"/>
          <w:lang w:val="en-AU"/>
        </w:rPr>
        <w:t xml:space="preserve">External audit: The final audit of financial statements is controlled by an external chartered accountant who provides feedback to the Board through the FARM Committee. </w:t>
      </w:r>
    </w:p>
    <w:p w14:paraId="5C4F2E9B" w14:textId="77777777" w:rsidR="008340EC" w:rsidRPr="008340EC" w:rsidRDefault="008340EC" w:rsidP="008340EC">
      <w:pPr>
        <w:pStyle w:val="Heading3"/>
        <w:spacing w:line="360" w:lineRule="auto"/>
        <w:rPr>
          <w:rFonts w:ascii="Arial" w:hAnsi="Arial"/>
          <w:lang w:val="en-AU"/>
        </w:rPr>
      </w:pPr>
      <w:r w:rsidRPr="008340EC">
        <w:rPr>
          <w:rFonts w:ascii="Arial" w:hAnsi="Arial"/>
          <w:lang w:val="en-AU"/>
        </w:rPr>
        <w:t>Definitions</w:t>
      </w:r>
    </w:p>
    <w:p w14:paraId="64BBE053" w14:textId="77777777" w:rsidR="008340EC" w:rsidRPr="008340EC" w:rsidRDefault="008340EC" w:rsidP="008340EC">
      <w:pPr>
        <w:spacing w:line="360" w:lineRule="auto"/>
        <w:rPr>
          <w:rFonts w:ascii="Arial" w:hAnsi="Arial" w:cs="Arial"/>
        </w:rPr>
      </w:pPr>
      <w:r w:rsidRPr="008340EC">
        <w:rPr>
          <w:rFonts w:ascii="Arial" w:hAnsi="Arial" w:cs="Arial"/>
        </w:rPr>
        <w:t>Risks are identified on a scale of likelihood of occurring in the next 12 months and assigning an impact or consequence to the risk as high, medium or low. High includes either a significant shortfall of around 40% in achieving budget or a significant reduction in ability to function. Medium includes either a shortfall of budget of between 10% and 20% or some reduction in function. Low indicates minor reductions in achieving budget or minimal reduction in performance.</w:t>
      </w:r>
    </w:p>
    <w:p w14:paraId="1699BF33" w14:textId="77777777" w:rsidR="00F661FB" w:rsidRDefault="00F661FB" w:rsidP="00D533C5"/>
    <w:p w14:paraId="2348C259" w14:textId="77777777" w:rsidR="00D533C5" w:rsidRPr="00B33685" w:rsidRDefault="00D533C5" w:rsidP="00D533C5">
      <w:pPr>
        <w:rPr>
          <w:rFonts w:ascii="Arial" w:hAnsi="Arial" w:cs="Arial"/>
          <w:b/>
          <w:sz w:val="28"/>
          <w:szCs w:val="28"/>
        </w:rPr>
      </w:pPr>
      <w:r w:rsidRPr="00B33685">
        <w:rPr>
          <w:rFonts w:ascii="Arial" w:hAnsi="Arial" w:cs="Arial"/>
          <w:b/>
          <w:sz w:val="28"/>
          <w:szCs w:val="28"/>
        </w:rPr>
        <w:t>Supporting Documents</w:t>
      </w:r>
    </w:p>
    <w:p w14:paraId="39549A5D" w14:textId="77777777" w:rsidR="00D533C5" w:rsidRDefault="00D533C5" w:rsidP="00D533C5">
      <w:pPr>
        <w:pStyle w:val="ListParagraph"/>
        <w:numPr>
          <w:ilvl w:val="0"/>
          <w:numId w:val="2"/>
        </w:numPr>
        <w:rPr>
          <w:rFonts w:ascii="Arial" w:hAnsi="Arial" w:cs="Arial"/>
        </w:rPr>
      </w:pPr>
      <w:r>
        <w:rPr>
          <w:rFonts w:ascii="Arial" w:hAnsi="Arial" w:cs="Arial"/>
        </w:rPr>
        <w:lastRenderedPageBreak/>
        <w:t>Work Health and Safety Policy</w:t>
      </w:r>
    </w:p>
    <w:p w14:paraId="7DB2A6F1" w14:textId="77777777" w:rsidR="00D533C5" w:rsidRDefault="00D533C5" w:rsidP="00D533C5">
      <w:pPr>
        <w:pStyle w:val="ListParagraph"/>
        <w:numPr>
          <w:ilvl w:val="0"/>
          <w:numId w:val="2"/>
        </w:numPr>
        <w:rPr>
          <w:rFonts w:ascii="Arial" w:hAnsi="Arial" w:cs="Arial"/>
        </w:rPr>
      </w:pPr>
      <w:r>
        <w:rPr>
          <w:rFonts w:ascii="Arial" w:hAnsi="Arial" w:cs="Arial"/>
        </w:rPr>
        <w:t>Local Government Regulations</w:t>
      </w:r>
    </w:p>
    <w:p w14:paraId="49BB5E7E" w14:textId="77777777" w:rsidR="00D533C5" w:rsidRDefault="00D533C5" w:rsidP="00D533C5">
      <w:pPr>
        <w:pStyle w:val="ListParagraph"/>
        <w:numPr>
          <w:ilvl w:val="0"/>
          <w:numId w:val="2"/>
        </w:numPr>
        <w:rPr>
          <w:rFonts w:ascii="Arial" w:hAnsi="Arial" w:cs="Arial"/>
        </w:rPr>
      </w:pPr>
      <w:r>
        <w:rPr>
          <w:rFonts w:ascii="Arial" w:hAnsi="Arial" w:cs="Arial"/>
        </w:rPr>
        <w:t>Work Health and Safety Act 2011 (</w:t>
      </w:r>
      <w:proofErr w:type="spellStart"/>
      <w:r>
        <w:rPr>
          <w:rFonts w:ascii="Arial" w:hAnsi="Arial" w:cs="Arial"/>
        </w:rPr>
        <w:t>Cth</w:t>
      </w:r>
      <w:proofErr w:type="spellEnd"/>
      <w:r>
        <w:rPr>
          <w:rFonts w:ascii="Arial" w:hAnsi="Arial" w:cs="Arial"/>
        </w:rPr>
        <w:t>)</w:t>
      </w:r>
    </w:p>
    <w:p w14:paraId="3424D3D4" w14:textId="77777777" w:rsidR="00D533C5" w:rsidRDefault="00D533C5" w:rsidP="00D533C5">
      <w:pPr>
        <w:pStyle w:val="ListParagraph"/>
        <w:numPr>
          <w:ilvl w:val="0"/>
          <w:numId w:val="2"/>
        </w:numPr>
        <w:rPr>
          <w:rFonts w:ascii="Arial" w:hAnsi="Arial" w:cs="Arial"/>
        </w:rPr>
      </w:pPr>
      <w:r>
        <w:rPr>
          <w:rFonts w:ascii="Arial" w:hAnsi="Arial" w:cs="Arial"/>
        </w:rPr>
        <w:t>Business Continuity Policy</w:t>
      </w:r>
    </w:p>
    <w:p w14:paraId="03DF2D82" w14:textId="77777777" w:rsidR="00D533C5" w:rsidRDefault="00D533C5" w:rsidP="00D533C5">
      <w:pPr>
        <w:pStyle w:val="ListParagraph"/>
        <w:numPr>
          <w:ilvl w:val="0"/>
          <w:numId w:val="2"/>
        </w:numPr>
        <w:rPr>
          <w:rFonts w:ascii="Arial" w:hAnsi="Arial" w:cs="Arial"/>
        </w:rPr>
      </w:pPr>
      <w:r>
        <w:rPr>
          <w:rFonts w:ascii="Arial" w:hAnsi="Arial" w:cs="Arial"/>
        </w:rPr>
        <w:t>Financial Accountability Act 2009 (QLD) Part 4, Section 61 (b)</w:t>
      </w:r>
    </w:p>
    <w:p w14:paraId="23E17E43" w14:textId="77777777" w:rsidR="00D533C5" w:rsidRDefault="00D533C5" w:rsidP="00D533C5">
      <w:pPr>
        <w:pStyle w:val="ListParagraph"/>
        <w:numPr>
          <w:ilvl w:val="0"/>
          <w:numId w:val="2"/>
        </w:numPr>
        <w:rPr>
          <w:rFonts w:ascii="Arial" w:hAnsi="Arial" w:cs="Arial"/>
        </w:rPr>
      </w:pPr>
      <w:r>
        <w:rPr>
          <w:rFonts w:ascii="Arial" w:hAnsi="Arial" w:cs="Arial"/>
        </w:rPr>
        <w:t>Financial and Performance Management Standard 2009 (QLD) Division 4, Section 28</w:t>
      </w:r>
    </w:p>
    <w:p w14:paraId="1CB5A65C" w14:textId="77777777" w:rsidR="00D533C5" w:rsidRDefault="00D533C5" w:rsidP="00D533C5">
      <w:pPr>
        <w:pStyle w:val="ListParagraph"/>
        <w:numPr>
          <w:ilvl w:val="0"/>
          <w:numId w:val="2"/>
        </w:numPr>
        <w:rPr>
          <w:rFonts w:ascii="Arial" w:hAnsi="Arial" w:cs="Arial"/>
        </w:rPr>
      </w:pPr>
      <w:r>
        <w:rPr>
          <w:rFonts w:ascii="Arial" w:hAnsi="Arial" w:cs="Arial"/>
        </w:rPr>
        <w:t>Australian/NZ Standard ISO 310000:2018 Risk Management - Principles and Guidelines</w:t>
      </w:r>
    </w:p>
    <w:p w14:paraId="7FBBDEFA" w14:textId="77777777" w:rsidR="00D533C5" w:rsidRDefault="00D533C5" w:rsidP="00D533C5">
      <w:pPr>
        <w:pStyle w:val="ListParagraph"/>
        <w:numPr>
          <w:ilvl w:val="0"/>
          <w:numId w:val="2"/>
        </w:numPr>
        <w:rPr>
          <w:rFonts w:ascii="Arial" w:hAnsi="Arial" w:cs="Arial"/>
        </w:rPr>
      </w:pPr>
      <w:r>
        <w:rPr>
          <w:rFonts w:ascii="Arial" w:hAnsi="Arial" w:cs="Arial"/>
        </w:rPr>
        <w:t>BCG Strategic plan</w:t>
      </w:r>
    </w:p>
    <w:p w14:paraId="65660891" w14:textId="77777777" w:rsidR="00D533C5" w:rsidRPr="001E0013" w:rsidRDefault="00D533C5" w:rsidP="00D533C5">
      <w:pPr>
        <w:pStyle w:val="ListParagraph"/>
        <w:numPr>
          <w:ilvl w:val="0"/>
          <w:numId w:val="2"/>
        </w:numPr>
        <w:rPr>
          <w:rFonts w:ascii="Arial" w:hAnsi="Arial" w:cs="Arial"/>
        </w:rPr>
      </w:pPr>
      <w:r>
        <w:rPr>
          <w:rFonts w:ascii="Arial" w:hAnsi="Arial" w:cs="Arial"/>
        </w:rPr>
        <w:t>BCG Risk Management Strategy</w:t>
      </w:r>
    </w:p>
    <w:p w14:paraId="1663844F" w14:textId="77777777" w:rsidR="00D533C5" w:rsidRDefault="00D533C5" w:rsidP="00D533C5">
      <w:pPr>
        <w:rPr>
          <w:rFonts w:ascii="Arial" w:hAnsi="Arial" w:cs="Arial"/>
        </w:rPr>
      </w:pPr>
    </w:p>
    <w:p w14:paraId="02D7982E" w14:textId="77777777" w:rsidR="00D533C5" w:rsidRDefault="00D533C5" w:rsidP="00D533C5">
      <w:pPr>
        <w:rPr>
          <w:rFonts w:ascii="Arial" w:hAnsi="Arial" w:cs="Arial"/>
        </w:rPr>
      </w:pPr>
    </w:p>
    <w:p w14:paraId="23F5C925" w14:textId="77777777" w:rsidR="00D533C5" w:rsidRDefault="00D533C5" w:rsidP="00D533C5">
      <w:pPr>
        <w:rPr>
          <w:rFonts w:ascii="Arial" w:hAnsi="Arial" w:cs="Arial"/>
        </w:rPr>
      </w:pPr>
    </w:p>
    <w:p w14:paraId="27325F45" w14:textId="77777777" w:rsidR="00D533C5" w:rsidRDefault="00D533C5" w:rsidP="00D533C5">
      <w:pPr>
        <w:rPr>
          <w:rFonts w:ascii="Arial" w:hAnsi="Arial" w:cs="Arial"/>
        </w:rPr>
      </w:pPr>
    </w:p>
    <w:p w14:paraId="527DA7D7" w14:textId="77777777" w:rsidR="00D533C5" w:rsidRDefault="00D533C5" w:rsidP="00D533C5">
      <w:pPr>
        <w:rPr>
          <w:rFonts w:ascii="Arial" w:hAnsi="Arial" w:cs="Arial"/>
        </w:rPr>
      </w:pPr>
    </w:p>
    <w:p w14:paraId="399CD1C6" w14:textId="77777777" w:rsidR="00D533C5" w:rsidRDefault="00D533C5" w:rsidP="00D533C5">
      <w:pPr>
        <w:rPr>
          <w:rFonts w:ascii="Arial" w:hAnsi="Arial" w:cs="Arial"/>
        </w:rPr>
      </w:pPr>
    </w:p>
    <w:p w14:paraId="50287DA2" w14:textId="77777777" w:rsidR="00D533C5" w:rsidRDefault="00D533C5" w:rsidP="00D533C5">
      <w:pPr>
        <w:rPr>
          <w:rFonts w:ascii="Arial" w:hAnsi="Arial" w:cs="Arial"/>
        </w:rPr>
      </w:pPr>
      <w:bookmarkStart w:id="0" w:name="_GoBack"/>
      <w:bookmarkEnd w:id="0"/>
    </w:p>
    <w:p w14:paraId="3C688E7D" w14:textId="77777777" w:rsidR="00D533C5" w:rsidRDefault="00D533C5" w:rsidP="00D533C5">
      <w:pPr>
        <w:rPr>
          <w:rFonts w:ascii="Arial" w:hAnsi="Arial" w:cs="Arial"/>
        </w:rPr>
      </w:pPr>
    </w:p>
    <w:p w14:paraId="122F14B3" w14:textId="77777777" w:rsidR="00D533C5" w:rsidRDefault="00D533C5" w:rsidP="00D533C5">
      <w:pPr>
        <w:rPr>
          <w:rFonts w:ascii="Arial" w:hAnsi="Arial" w:cs="Arial"/>
        </w:rPr>
      </w:pPr>
    </w:p>
    <w:p w14:paraId="3339CEDA" w14:textId="77777777" w:rsidR="00D533C5" w:rsidRDefault="00D533C5" w:rsidP="00D533C5">
      <w:pPr>
        <w:rPr>
          <w:rFonts w:ascii="Arial" w:hAnsi="Arial" w:cs="Arial"/>
        </w:rPr>
      </w:pPr>
    </w:p>
    <w:tbl>
      <w:tblPr>
        <w:tblStyle w:val="TableGrid"/>
        <w:tblW w:w="0" w:type="auto"/>
        <w:tblLook w:val="04A0" w:firstRow="1" w:lastRow="0" w:firstColumn="1" w:lastColumn="0" w:noHBand="0" w:noVBand="1"/>
      </w:tblPr>
      <w:tblGrid>
        <w:gridCol w:w="1690"/>
        <w:gridCol w:w="1716"/>
        <w:gridCol w:w="1452"/>
        <w:gridCol w:w="2194"/>
        <w:gridCol w:w="742"/>
        <w:gridCol w:w="1222"/>
      </w:tblGrid>
      <w:tr w:rsidR="00D533C5" w14:paraId="4E38C687" w14:textId="77777777" w:rsidTr="00B86CFB">
        <w:tc>
          <w:tcPr>
            <w:tcW w:w="1696" w:type="dxa"/>
          </w:tcPr>
          <w:p w14:paraId="4BC14109" w14:textId="77777777" w:rsidR="00D533C5" w:rsidRDefault="00D533C5" w:rsidP="00B86CFB">
            <w:pPr>
              <w:rPr>
                <w:rFonts w:ascii="Arial" w:hAnsi="Arial" w:cs="Arial"/>
              </w:rPr>
            </w:pPr>
            <w:r>
              <w:rPr>
                <w:rFonts w:ascii="Arial" w:hAnsi="Arial" w:cs="Arial"/>
              </w:rPr>
              <w:t>Authorised by:</w:t>
            </w:r>
          </w:p>
        </w:tc>
        <w:tc>
          <w:tcPr>
            <w:tcW w:w="1725" w:type="dxa"/>
          </w:tcPr>
          <w:p w14:paraId="4FE8C6D1" w14:textId="77777777" w:rsidR="00D533C5" w:rsidRDefault="00D533C5" w:rsidP="00B86CFB">
            <w:pPr>
              <w:rPr>
                <w:rFonts w:ascii="Arial" w:hAnsi="Arial" w:cs="Arial"/>
              </w:rPr>
            </w:pPr>
            <w:r>
              <w:rPr>
                <w:rFonts w:ascii="Arial" w:hAnsi="Arial" w:cs="Arial"/>
              </w:rPr>
              <w:t>Jim Murphy CEO</w:t>
            </w:r>
          </w:p>
        </w:tc>
        <w:tc>
          <w:tcPr>
            <w:tcW w:w="1455" w:type="dxa"/>
          </w:tcPr>
          <w:p w14:paraId="302023E2" w14:textId="77777777" w:rsidR="00D533C5" w:rsidRDefault="00D533C5" w:rsidP="00B86CFB">
            <w:pPr>
              <w:rPr>
                <w:rFonts w:ascii="Arial" w:hAnsi="Arial" w:cs="Arial"/>
              </w:rPr>
            </w:pPr>
            <w:r>
              <w:rPr>
                <w:rFonts w:ascii="Arial" w:hAnsi="Arial" w:cs="Arial"/>
              </w:rPr>
              <w:t>Signature:</w:t>
            </w:r>
          </w:p>
        </w:tc>
        <w:tc>
          <w:tcPr>
            <w:tcW w:w="2207" w:type="dxa"/>
          </w:tcPr>
          <w:p w14:paraId="5C0D546A" w14:textId="77777777" w:rsidR="00D533C5" w:rsidRPr="000B170C" w:rsidRDefault="00D533C5" w:rsidP="00B86CFB">
            <w:pPr>
              <w:rPr>
                <w:rFonts w:ascii="Lucida Handwriting" w:hAnsi="Lucida Handwriting" w:cs="Arial"/>
                <w:i/>
                <w:sz w:val="24"/>
                <w:szCs w:val="24"/>
              </w:rPr>
            </w:pPr>
            <w:r w:rsidRPr="000B170C">
              <w:rPr>
                <w:rFonts w:ascii="Lucida Handwriting" w:hAnsi="Lucida Handwriting" w:cs="Arial"/>
                <w:i/>
                <w:sz w:val="24"/>
                <w:szCs w:val="24"/>
              </w:rPr>
              <w:t>Jim Murphy</w:t>
            </w:r>
          </w:p>
        </w:tc>
        <w:tc>
          <w:tcPr>
            <w:tcW w:w="709" w:type="dxa"/>
          </w:tcPr>
          <w:p w14:paraId="066C5302" w14:textId="77777777" w:rsidR="00D533C5" w:rsidRDefault="00D533C5" w:rsidP="00B86CFB">
            <w:pPr>
              <w:rPr>
                <w:rFonts w:ascii="Arial" w:hAnsi="Arial" w:cs="Arial"/>
              </w:rPr>
            </w:pPr>
            <w:r>
              <w:rPr>
                <w:rFonts w:ascii="Arial" w:hAnsi="Arial" w:cs="Arial"/>
              </w:rPr>
              <w:t>Date:</w:t>
            </w:r>
          </w:p>
        </w:tc>
        <w:tc>
          <w:tcPr>
            <w:tcW w:w="1224" w:type="dxa"/>
          </w:tcPr>
          <w:p w14:paraId="04B927CE" w14:textId="77777777" w:rsidR="00D533C5" w:rsidRDefault="00D533C5" w:rsidP="00B86CFB">
            <w:pPr>
              <w:rPr>
                <w:rFonts w:ascii="Arial" w:hAnsi="Arial" w:cs="Arial"/>
              </w:rPr>
            </w:pPr>
            <w:r>
              <w:rPr>
                <w:rFonts w:ascii="Arial" w:hAnsi="Arial" w:cs="Arial"/>
              </w:rPr>
              <w:t>22/03/2x</w:t>
            </w:r>
          </w:p>
        </w:tc>
      </w:tr>
      <w:tr w:rsidR="00D533C5" w14:paraId="3B88943D" w14:textId="77777777" w:rsidTr="00B86CFB">
        <w:tc>
          <w:tcPr>
            <w:tcW w:w="1696" w:type="dxa"/>
          </w:tcPr>
          <w:p w14:paraId="732507D3" w14:textId="77777777" w:rsidR="00D533C5" w:rsidRDefault="00D533C5" w:rsidP="00B86CFB">
            <w:pPr>
              <w:rPr>
                <w:rFonts w:ascii="Arial" w:hAnsi="Arial" w:cs="Arial"/>
              </w:rPr>
            </w:pPr>
            <w:r>
              <w:rPr>
                <w:rFonts w:ascii="Arial" w:hAnsi="Arial" w:cs="Arial"/>
              </w:rPr>
              <w:t>Review due:</w:t>
            </w:r>
          </w:p>
        </w:tc>
        <w:tc>
          <w:tcPr>
            <w:tcW w:w="1725" w:type="dxa"/>
          </w:tcPr>
          <w:p w14:paraId="6EAA213C" w14:textId="77777777" w:rsidR="00D533C5" w:rsidRDefault="00D533C5" w:rsidP="00B86CFB">
            <w:pPr>
              <w:rPr>
                <w:rFonts w:ascii="Arial" w:hAnsi="Arial" w:cs="Arial"/>
              </w:rPr>
            </w:pPr>
            <w:r>
              <w:rPr>
                <w:rFonts w:ascii="Arial" w:hAnsi="Arial" w:cs="Arial"/>
              </w:rPr>
              <w:t>22/03/2x</w:t>
            </w:r>
          </w:p>
          <w:p w14:paraId="0FC9F71B" w14:textId="77777777" w:rsidR="00D533C5" w:rsidRDefault="00D533C5" w:rsidP="00B86CFB">
            <w:pPr>
              <w:rPr>
                <w:rFonts w:ascii="Arial" w:hAnsi="Arial" w:cs="Arial"/>
              </w:rPr>
            </w:pPr>
          </w:p>
        </w:tc>
        <w:tc>
          <w:tcPr>
            <w:tcW w:w="1455" w:type="dxa"/>
          </w:tcPr>
          <w:p w14:paraId="52198779" w14:textId="77777777" w:rsidR="00D533C5" w:rsidRDefault="00D533C5" w:rsidP="00B86CFB">
            <w:pPr>
              <w:rPr>
                <w:rFonts w:ascii="Arial" w:hAnsi="Arial" w:cs="Arial"/>
              </w:rPr>
            </w:pPr>
            <w:r>
              <w:rPr>
                <w:rFonts w:ascii="Arial" w:hAnsi="Arial" w:cs="Arial"/>
              </w:rPr>
              <w:t>Signature</w:t>
            </w:r>
          </w:p>
        </w:tc>
        <w:tc>
          <w:tcPr>
            <w:tcW w:w="2207" w:type="dxa"/>
          </w:tcPr>
          <w:p w14:paraId="386EFD6E" w14:textId="77777777" w:rsidR="00D533C5" w:rsidRDefault="00D533C5" w:rsidP="00B86CFB">
            <w:pPr>
              <w:rPr>
                <w:rFonts w:ascii="Arial" w:hAnsi="Arial" w:cs="Arial"/>
              </w:rPr>
            </w:pPr>
          </w:p>
        </w:tc>
        <w:tc>
          <w:tcPr>
            <w:tcW w:w="709" w:type="dxa"/>
          </w:tcPr>
          <w:p w14:paraId="14FD41F3" w14:textId="77777777" w:rsidR="00D533C5" w:rsidRDefault="00D533C5" w:rsidP="00B86CFB">
            <w:pPr>
              <w:rPr>
                <w:rFonts w:ascii="Arial" w:hAnsi="Arial" w:cs="Arial"/>
              </w:rPr>
            </w:pPr>
            <w:r>
              <w:rPr>
                <w:rFonts w:ascii="Arial" w:hAnsi="Arial" w:cs="Arial"/>
              </w:rPr>
              <w:t>Date:</w:t>
            </w:r>
          </w:p>
        </w:tc>
        <w:tc>
          <w:tcPr>
            <w:tcW w:w="1224" w:type="dxa"/>
          </w:tcPr>
          <w:p w14:paraId="52D7CAB6" w14:textId="77777777" w:rsidR="00D533C5" w:rsidRDefault="00D533C5" w:rsidP="00B86CFB">
            <w:pPr>
              <w:rPr>
                <w:rFonts w:ascii="Arial" w:hAnsi="Arial" w:cs="Arial"/>
              </w:rPr>
            </w:pPr>
          </w:p>
        </w:tc>
      </w:tr>
      <w:tr w:rsidR="00D533C5" w14:paraId="11258476" w14:textId="77777777" w:rsidTr="00B86CFB">
        <w:tc>
          <w:tcPr>
            <w:tcW w:w="1696" w:type="dxa"/>
          </w:tcPr>
          <w:p w14:paraId="01ABC620" w14:textId="77777777" w:rsidR="00D533C5" w:rsidRDefault="00D533C5" w:rsidP="00B86CFB">
            <w:pPr>
              <w:rPr>
                <w:rFonts w:ascii="Arial" w:hAnsi="Arial" w:cs="Arial"/>
              </w:rPr>
            </w:pPr>
          </w:p>
        </w:tc>
        <w:tc>
          <w:tcPr>
            <w:tcW w:w="1725" w:type="dxa"/>
          </w:tcPr>
          <w:p w14:paraId="35DC648F" w14:textId="77777777" w:rsidR="00D533C5" w:rsidRDefault="00D533C5" w:rsidP="00B86CFB">
            <w:pPr>
              <w:rPr>
                <w:rFonts w:ascii="Arial" w:hAnsi="Arial" w:cs="Arial"/>
              </w:rPr>
            </w:pPr>
          </w:p>
          <w:p w14:paraId="630A9EDC" w14:textId="77777777" w:rsidR="00D533C5" w:rsidRDefault="00D533C5" w:rsidP="00B86CFB">
            <w:pPr>
              <w:rPr>
                <w:rFonts w:ascii="Arial" w:hAnsi="Arial" w:cs="Arial"/>
              </w:rPr>
            </w:pPr>
          </w:p>
        </w:tc>
        <w:tc>
          <w:tcPr>
            <w:tcW w:w="1455" w:type="dxa"/>
          </w:tcPr>
          <w:p w14:paraId="297D57C2" w14:textId="77777777" w:rsidR="00D533C5" w:rsidRDefault="00D533C5" w:rsidP="00B86CFB">
            <w:pPr>
              <w:rPr>
                <w:rFonts w:ascii="Arial" w:hAnsi="Arial" w:cs="Arial"/>
              </w:rPr>
            </w:pPr>
          </w:p>
        </w:tc>
        <w:tc>
          <w:tcPr>
            <w:tcW w:w="2207" w:type="dxa"/>
          </w:tcPr>
          <w:p w14:paraId="489C6E4A" w14:textId="77777777" w:rsidR="00D533C5" w:rsidRDefault="00D533C5" w:rsidP="00B86CFB">
            <w:pPr>
              <w:rPr>
                <w:rFonts w:ascii="Arial" w:hAnsi="Arial" w:cs="Arial"/>
              </w:rPr>
            </w:pPr>
          </w:p>
        </w:tc>
        <w:tc>
          <w:tcPr>
            <w:tcW w:w="709" w:type="dxa"/>
          </w:tcPr>
          <w:p w14:paraId="343FEB4B" w14:textId="77777777" w:rsidR="00D533C5" w:rsidRDefault="00D533C5" w:rsidP="00B86CFB">
            <w:pPr>
              <w:rPr>
                <w:rFonts w:ascii="Arial" w:hAnsi="Arial" w:cs="Arial"/>
              </w:rPr>
            </w:pPr>
          </w:p>
        </w:tc>
        <w:tc>
          <w:tcPr>
            <w:tcW w:w="1224" w:type="dxa"/>
          </w:tcPr>
          <w:p w14:paraId="133270FE" w14:textId="77777777" w:rsidR="00D533C5" w:rsidRDefault="00D533C5" w:rsidP="00B86CFB">
            <w:pPr>
              <w:rPr>
                <w:rFonts w:ascii="Arial" w:hAnsi="Arial" w:cs="Arial"/>
              </w:rPr>
            </w:pPr>
          </w:p>
        </w:tc>
      </w:tr>
    </w:tbl>
    <w:p w14:paraId="67576195" w14:textId="77777777" w:rsidR="00D533C5" w:rsidRPr="0090352E" w:rsidRDefault="00D533C5" w:rsidP="00D533C5">
      <w:pPr>
        <w:rPr>
          <w:rFonts w:ascii="Arial" w:hAnsi="Arial" w:cs="Arial"/>
        </w:rPr>
      </w:pPr>
    </w:p>
    <w:p w14:paraId="1E476C3E" w14:textId="77777777" w:rsidR="00D533C5" w:rsidRDefault="00D533C5"/>
    <w:sectPr w:rsidR="00D533C5" w:rsidSect="009B71A1">
      <w:headerReference w:type="default" r:id="rId7"/>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0D90" w14:textId="77777777" w:rsidR="002C12C9" w:rsidRDefault="002C12C9" w:rsidP="00D533C5">
      <w:pPr>
        <w:spacing w:after="0" w:line="240" w:lineRule="auto"/>
      </w:pPr>
      <w:r>
        <w:separator/>
      </w:r>
    </w:p>
  </w:endnote>
  <w:endnote w:type="continuationSeparator" w:id="0">
    <w:p w14:paraId="3178ED9E" w14:textId="77777777" w:rsidR="002C12C9" w:rsidRDefault="002C12C9" w:rsidP="00D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7F09" w14:textId="2883CF90" w:rsidR="009B71A1" w:rsidRDefault="009B71A1" w:rsidP="009B71A1">
    <w:pPr>
      <w:tabs>
        <w:tab w:val="center" w:pos="4513"/>
        <w:tab w:val="right" w:pos="9026"/>
      </w:tabs>
      <w:spacing w:before="120" w:after="0" w:line="240" w:lineRule="auto"/>
      <w:rPr>
        <w:rFonts w:ascii="Arial" w:eastAsia="Times New Roman" w:hAnsi="Arial" w:cs="Arial"/>
        <w:b/>
        <w:bCs/>
        <w:sz w:val="20"/>
        <w:szCs w:val="20"/>
        <w:lang w:val="en-US"/>
      </w:rPr>
    </w:pPr>
    <w:r w:rsidRPr="005174B2">
      <w:rPr>
        <w:rFonts w:ascii="Arial" w:eastAsia="Times New Roman" w:hAnsi="Arial" w:cs="Arial"/>
        <w:sz w:val="20"/>
        <w:szCs w:val="20"/>
        <w:lang w:val="en-US"/>
      </w:rPr>
      <w:t>©20</w:t>
    </w:r>
    <w:r>
      <w:rPr>
        <w:rFonts w:ascii="Arial" w:eastAsia="Times New Roman" w:hAnsi="Arial" w:cs="Arial"/>
        <w:sz w:val="20"/>
        <w:szCs w:val="20"/>
        <w:lang w:val="en-US"/>
      </w:rPr>
      <w:t>20</w:t>
    </w:r>
    <w:r w:rsidRPr="005174B2">
      <w:rPr>
        <w:rFonts w:ascii="Arial" w:eastAsia="Times New Roman" w:hAnsi="Arial" w:cs="Arial"/>
        <w:sz w:val="20"/>
        <w:szCs w:val="20"/>
        <w:lang w:val="en-US"/>
      </w:rPr>
      <w:t xml:space="preserve"> College for Adult Learning TOID 22228                                                     </w:t>
    </w:r>
    <w:r>
      <w:rPr>
        <w:rFonts w:ascii="Arial" w:eastAsia="Times New Roman" w:hAnsi="Arial" w:cs="Arial"/>
        <w:sz w:val="20"/>
        <w:szCs w:val="20"/>
        <w:lang w:val="en-US"/>
      </w:rPr>
      <w:tab/>
    </w:r>
    <w:r w:rsidRPr="005174B2">
      <w:rPr>
        <w:rFonts w:ascii="Arial" w:eastAsia="Times New Roman" w:hAnsi="Arial" w:cs="Arial"/>
        <w:sz w:val="20"/>
        <w:szCs w:val="20"/>
        <w:lang w:val="en-US"/>
      </w:rPr>
      <w:t xml:space="preserve">Page </w:t>
    </w:r>
    <w:r w:rsidRPr="005174B2">
      <w:rPr>
        <w:rFonts w:ascii="Arial" w:eastAsia="Times New Roman" w:hAnsi="Arial" w:cs="Arial"/>
        <w:b/>
        <w:bCs/>
        <w:sz w:val="20"/>
        <w:szCs w:val="20"/>
        <w:lang w:val="en-US"/>
      </w:rPr>
      <w:fldChar w:fldCharType="begin"/>
    </w:r>
    <w:r w:rsidRPr="005174B2">
      <w:rPr>
        <w:rFonts w:ascii="Arial" w:eastAsia="Times New Roman" w:hAnsi="Arial" w:cs="Arial"/>
        <w:b/>
        <w:bCs/>
        <w:sz w:val="20"/>
        <w:szCs w:val="20"/>
        <w:lang w:val="en-US"/>
      </w:rPr>
      <w:instrText xml:space="preserve"> PAGE  \* Arabic  \* MERGEFORMAT </w:instrText>
    </w:r>
    <w:r w:rsidRPr="005174B2">
      <w:rPr>
        <w:rFonts w:ascii="Arial" w:eastAsia="Times New Roman" w:hAnsi="Arial" w:cs="Arial"/>
        <w:b/>
        <w:bCs/>
        <w:sz w:val="20"/>
        <w:szCs w:val="20"/>
        <w:lang w:val="en-US"/>
      </w:rPr>
      <w:fldChar w:fldCharType="separate"/>
    </w:r>
    <w:r>
      <w:rPr>
        <w:rFonts w:ascii="Arial" w:eastAsia="Times New Roman" w:hAnsi="Arial" w:cs="Arial"/>
        <w:b/>
        <w:bCs/>
        <w:sz w:val="20"/>
        <w:szCs w:val="20"/>
        <w:lang w:val="en-US"/>
      </w:rPr>
      <w:t>1</w:t>
    </w:r>
    <w:r w:rsidRPr="005174B2">
      <w:rPr>
        <w:rFonts w:ascii="Arial" w:eastAsia="Times New Roman" w:hAnsi="Arial" w:cs="Arial"/>
        <w:b/>
        <w:bCs/>
        <w:sz w:val="20"/>
        <w:szCs w:val="20"/>
        <w:lang w:val="en-US"/>
      </w:rPr>
      <w:fldChar w:fldCharType="end"/>
    </w:r>
    <w:r w:rsidRPr="005174B2">
      <w:rPr>
        <w:rFonts w:ascii="Arial" w:eastAsia="Times New Roman" w:hAnsi="Arial" w:cs="Arial"/>
        <w:sz w:val="20"/>
        <w:szCs w:val="20"/>
        <w:lang w:val="en-US"/>
      </w:rPr>
      <w:t xml:space="preserve"> of </w:t>
    </w:r>
    <w:r w:rsidRPr="005174B2">
      <w:rPr>
        <w:rFonts w:ascii="Arial" w:eastAsia="Times New Roman" w:hAnsi="Arial" w:cs="Arial"/>
        <w:b/>
        <w:bCs/>
        <w:sz w:val="20"/>
        <w:szCs w:val="20"/>
        <w:lang w:val="en-US"/>
      </w:rPr>
      <w:fldChar w:fldCharType="begin"/>
    </w:r>
    <w:r w:rsidRPr="005174B2">
      <w:rPr>
        <w:rFonts w:ascii="Arial" w:eastAsia="Times New Roman" w:hAnsi="Arial" w:cs="Arial"/>
        <w:b/>
        <w:bCs/>
        <w:sz w:val="20"/>
        <w:szCs w:val="20"/>
        <w:lang w:val="en-US"/>
      </w:rPr>
      <w:instrText xml:space="preserve"> NUMPAGES  \* Arabic  \* MERGEFORMAT </w:instrText>
    </w:r>
    <w:r w:rsidRPr="005174B2">
      <w:rPr>
        <w:rFonts w:ascii="Arial" w:eastAsia="Times New Roman" w:hAnsi="Arial" w:cs="Arial"/>
        <w:b/>
        <w:bCs/>
        <w:sz w:val="20"/>
        <w:szCs w:val="20"/>
        <w:lang w:val="en-US"/>
      </w:rPr>
      <w:fldChar w:fldCharType="separate"/>
    </w:r>
    <w:r>
      <w:rPr>
        <w:rFonts w:ascii="Arial" w:eastAsia="Times New Roman" w:hAnsi="Arial" w:cs="Arial"/>
        <w:b/>
        <w:bCs/>
        <w:sz w:val="20"/>
        <w:szCs w:val="20"/>
        <w:lang w:val="en-US"/>
      </w:rPr>
      <w:t>7</w:t>
    </w:r>
    <w:r w:rsidRPr="005174B2">
      <w:rPr>
        <w:rFonts w:ascii="Arial" w:eastAsia="Times New Roman" w:hAnsi="Arial" w:cs="Arial"/>
        <w:b/>
        <w:bCs/>
        <w:sz w:val="20"/>
        <w:szCs w:val="20"/>
        <w:lang w:val="en-US"/>
      </w:rPr>
      <w:fldChar w:fldCharType="end"/>
    </w:r>
  </w:p>
  <w:p w14:paraId="680164F1" w14:textId="77777777" w:rsidR="009B71A1" w:rsidRPr="005174B2" w:rsidRDefault="009B71A1" w:rsidP="009B71A1">
    <w:pPr>
      <w:tabs>
        <w:tab w:val="center" w:pos="4513"/>
        <w:tab w:val="right" w:pos="9026"/>
      </w:tabs>
      <w:spacing w:before="120" w:after="240" w:line="240" w:lineRule="auto"/>
      <w:jc w:val="center"/>
    </w:pPr>
    <w:r w:rsidRPr="005174B2">
      <w:rPr>
        <w:rFonts w:ascii="Arial" w:eastAsia="Times New Roman" w:hAnsi="Arial" w:cs="Arial"/>
        <w:sz w:val="20"/>
        <w:szCs w:val="20"/>
        <w:lang w:val="en-US"/>
      </w:rPr>
      <w:t>John Readings is a fictitious company created for education and training purposes</w:t>
    </w:r>
    <w:r w:rsidRPr="005174B2">
      <w:rPr>
        <w:rFonts w:ascii="Avenir LT Std 35 Light" w:eastAsia="Times New Roman" w:hAnsi="Avenir LT Std 35 Light" w:cs="Times New Roman"/>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D005" w14:textId="77777777" w:rsidR="002C12C9" w:rsidRDefault="002C12C9" w:rsidP="00D533C5">
      <w:pPr>
        <w:spacing w:after="0" w:line="240" w:lineRule="auto"/>
      </w:pPr>
      <w:r>
        <w:separator/>
      </w:r>
    </w:p>
  </w:footnote>
  <w:footnote w:type="continuationSeparator" w:id="0">
    <w:p w14:paraId="578C2404" w14:textId="77777777" w:rsidR="002C12C9" w:rsidRDefault="002C12C9" w:rsidP="00D5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DFA7" w14:textId="77777777" w:rsidR="009B71A1" w:rsidRPr="005174B2" w:rsidRDefault="009B71A1" w:rsidP="009B71A1">
    <w:pPr>
      <w:keepNext/>
      <w:pBdr>
        <w:bottom w:val="single" w:sz="4" w:space="1" w:color="000000"/>
      </w:pBdr>
      <w:spacing w:before="240" w:after="240" w:line="360" w:lineRule="auto"/>
      <w:ind w:left="1"/>
      <w:outlineLvl w:val="1"/>
      <w:rPr>
        <w:rFonts w:ascii="Trebuchet MS" w:eastAsia="Times New Roman" w:hAnsi="Trebuchet MS" w:cs="Arial"/>
        <w:kern w:val="32"/>
        <w:sz w:val="40"/>
        <w:szCs w:val="40"/>
      </w:rPr>
    </w:pPr>
    <w:r w:rsidRPr="005174B2">
      <w:rPr>
        <w:rFonts w:ascii="Franklin Gothic Book" w:eastAsia="Times New Roman" w:hAnsi="Franklin Gothic Book" w:cs="Arial"/>
        <w:b/>
        <w:bCs/>
        <w:noProof/>
        <w:kern w:val="32"/>
        <w:sz w:val="36"/>
        <w:szCs w:val="28"/>
        <w:lang w:eastAsia="en-AU"/>
      </w:rPr>
      <mc:AlternateContent>
        <mc:Choice Requires="wps">
          <w:drawing>
            <wp:anchor distT="0" distB="0" distL="114300" distR="114300" simplePos="0" relativeHeight="251659264" behindDoc="0" locked="0" layoutInCell="1" allowOverlap="1" wp14:anchorId="446AD9D7" wp14:editId="5233F495">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ysClr val="window" lastClr="FFFFFF"/>
                      </a:solidFill>
                      <a:ln w="6350">
                        <a:solidFill>
                          <a:sysClr val="window" lastClr="FFFFFF"/>
                        </a:solidFill>
                      </a:ln>
                      <a:effectLst/>
                    </wps:spPr>
                    <wps:txbx>
                      <w:txbxContent>
                        <w:p w14:paraId="242A13C7" w14:textId="77777777" w:rsidR="009B71A1" w:rsidRDefault="009B71A1" w:rsidP="009B7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AD9D7"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TwIAANIEAAAOAAAAZHJzL2Uyb0RvYy54bWysVF1v2jAUfZ+0/2D5fQ1htGsjQsWomCZV&#10;bSU69dk4DkRyfD3bkLBfv2MT2q7b01QejO+H78e552Z63bea7ZXzDZmS52cjzpSRVDVmU/Ifj8tP&#10;l5z5IEwlNBlV8oPy/Hr28cO0s4Ua05Z0pRxDEOOLzpZ8G4ItsszLrWqFPyOrDIw1uVYEiG6TVU50&#10;iN7qbDwaXWQduco6ksp7aG+ORj5L8etayXBf114FpkuO2kI6XTrX8cxmU1FsnLDbRg5liP+oohWN&#10;QdLnUDciCLZzzV+h2kY68lSHM0ltRnXdSJV6QDf56E03q62wKvUCcLx9hsm/X1h5t39wrKkwO86M&#10;aDGiR9UH9pV6lkd0OusLOK0s3EIPdfQc9B7K2HRfuzb+ox0GO3A+PGMbg8n46HI0Go/POZOw5Rhd&#10;fp7Qz16eW+fDN0Uti5eSOwwvYSr2tz4gJVxPLjGbJ91Uy0brJBz8Qju2F5gz6FFRx5kWPkBZ8mX6&#10;xaoR4o9n2rCu5BefUcv7hEQCbWIolcg3FB5BPIIVb6Ff9wOCa6oOANbRkZjeymWD5m9R+YNwYCKw&#10;xHaFexy1JtRKw42zLblf/9JHfxAEVs46MLvk/udOOAVAvhtQ5yqfTOIqJGFy/mUMwb22rF9bzK5d&#10;EEAFPVBdukb/oE/X2lH7hCWcx6wwCSORu+ThdF2E475hiaWaz5MTyG9FuDUrK2PoCFgc7WP/JJwd&#10;5h9AnTs67YAo3tDg6BtfGprvAtVN4kgE+Igqph0FLE6a+7DkcTNfy8nr5VM0+w0AAP//AwBQSwME&#10;FAAGAAgAAAAhAD+wI9PeAAAACQEAAA8AAABkcnMvZG93bnJldi54bWxMj0FLxDAUhO+C/yE8wZub&#10;mupia9OlCC4iKOy6hz1mk2dabJKSvN2t/9540uMww8w3zWp2IzthTEPwEm4XBTD0OpjBWwm7j+eb&#10;B2CJlDdqDB4lfGOCVXt50ajahLPf4GlLluUSn2oloSeaas6T7tGptAgT+ux9hugUZRktN1Gdc7kb&#10;uSiKJXdq8HmhVxM+9ai/tkcn4XWzVsKuX4q3ck/duyXdpailvL6au0dghDP9heEXP6NDm5kO4ehN&#10;YqOEZVnlLyThTgDLfiXEPbBDDlalAN42/P+D9gcAAP//AwBQSwECLQAUAAYACAAAACEAtoM4kv4A&#10;AADhAQAAEwAAAAAAAAAAAAAAAAAAAAAAW0NvbnRlbnRfVHlwZXNdLnhtbFBLAQItABQABgAIAAAA&#10;IQA4/SH/1gAAAJQBAAALAAAAAAAAAAAAAAAAAC8BAABfcmVscy8ucmVsc1BLAQItABQABgAIAAAA&#10;IQDGV/C/TwIAANIEAAAOAAAAAAAAAAAAAAAAAC4CAABkcnMvZTJvRG9jLnhtbFBLAQItABQABgAI&#10;AAAAIQA/sCPT3gAAAAkBAAAPAAAAAAAAAAAAAAAAAKkEAABkcnMvZG93bnJldi54bWxQSwUGAAAA&#10;AAQABADzAAAAtAUAAAAA&#10;" fillcolor="window" strokecolor="window" strokeweight=".5pt">
              <v:textbox>
                <w:txbxContent>
                  <w:p w14:paraId="242A13C7" w14:textId="77777777" w:rsidR="009B71A1" w:rsidRDefault="009B71A1" w:rsidP="009B71A1"/>
                </w:txbxContent>
              </v:textbox>
            </v:shape>
          </w:pict>
        </mc:Fallback>
      </mc:AlternateContent>
    </w:r>
    <w:bookmarkStart w:id="1" w:name="_Toc2616773"/>
    <w:r w:rsidRPr="005174B2">
      <w:rPr>
        <w:rFonts w:ascii="Trebuchet MS" w:eastAsia="Times New Roman" w:hAnsi="Trebuchet MS" w:cs="Arial"/>
        <w:b/>
        <w:bCs/>
        <w:noProof/>
        <w:kern w:val="32"/>
        <w:sz w:val="36"/>
        <w:szCs w:val="28"/>
        <w:lang w:eastAsia="en-AU"/>
      </w:rPr>
      <mc:AlternateContent>
        <mc:Choice Requires="wps">
          <w:drawing>
            <wp:anchor distT="0" distB="0" distL="114300" distR="114300" simplePos="0" relativeHeight="251660288" behindDoc="0" locked="0" layoutInCell="1" allowOverlap="1" wp14:anchorId="2E3ACC0D" wp14:editId="20B2D2FC">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ysClr val="window" lastClr="FFFFFF"/>
                      </a:solidFill>
                      <a:ln w="6350">
                        <a:noFill/>
                      </a:ln>
                      <a:effectLst/>
                    </wps:spPr>
                    <wps:txbx>
                      <w:txbxContent>
                        <w:p w14:paraId="7D457741" w14:textId="77777777" w:rsidR="009B71A1" w:rsidRDefault="009B71A1" w:rsidP="009B71A1">
                          <w:r>
                            <w:rPr>
                              <w:noProof/>
                              <w:lang w:eastAsia="en-AU"/>
                            </w:rPr>
                            <w:drawing>
                              <wp:inline distT="0" distB="0" distL="0" distR="0" wp14:anchorId="6CFD0121" wp14:editId="41214D64">
                                <wp:extent cx="1102434" cy="1113182"/>
                                <wp:effectExtent l="0" t="0" r="254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06890" cy="11176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CC0D" id="Text Box 30" o:spid="_x0000_s1027" type="#_x0000_t202" style="position:absolute;left:0;text-align:left;margin-left:71.4pt;margin-top:-21pt;width:122.6pt;height:12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OKUQIAAKIEAAAOAAAAZHJzL2Uyb0RvYy54bWysVE1vGjEQvVfqf7B8L7uQkKSIJaKJqCqh&#10;JBKpcjZeL6zk9bi2YZf++j57gaRpT1U5mPnyG8+bmZ3edo1me+V8Tabgw0HOmTKSytpsCv79efHp&#10;hjMfhCmFJqMKflCe384+fpi2dqJGtCVdKscAYvyktQXfhmAnWeblVjXCD8gqA2dFrhEBqttkpRMt&#10;0BudjfL8KmvJldaRVN7Det87+SzhV5WS4bGqvApMFxxvC+l06VzHM5tNxWTjhN3W8vgM8Q+vaERt&#10;kPQMdS+CYDtX/wHV1NKRpyoMJDUZVVUtVaoB1Qzzd9WstsKqVAvI8fZMk/9/sPJh/+RYXRb8AvQY&#10;0aBHz6oL7At1DCbw01o/QdjKIjB0sKPPJ7uHMZbdVa6J/yiIwQ+ow5ndiCbjpfH4Oh/BJeGDMhpf&#10;jyNO9nrdOh++KmpYFAru0L7EqtgvfehDTyExmyddl4ta66Qc/J12bC/QaQxISS1nWvgAY8EX6XfM&#10;9ts1bVhb8KuLcZ4yGYp4fSptIq5KU3TMH7noa45S6NZd4u7Mx5rKA2hy1A+at3JRo5Ql3vEkHCYL&#10;5WNbwiOOShMy01HibEvu59/sMR4Nh5ezFpNacP9jJ5xCed8MRuHz8PISsCEpl+PrSLF761m/9Zhd&#10;c0egaIi9tDKJMT7ok1g5al6wVPOYFS5hJHIXPJzEu9DvD5ZSqvk8BWGYrQhLs7IyQkfeYqOeuxfh&#10;7LGbAYPwQKeZFpN3Te1j401D812gqk4djzz3rGJSooJFSDNzXNq4aW/1FPX6aZn9AgAA//8DAFBL&#10;AwQUAAYACAAAACEAm3iCIt8AAAAIAQAADwAAAGRycy9kb3ducmV2LnhtbEyPQUvDQBCF74L/YRnB&#10;W7txaUXSbIqIogVDNRa8bpMxiWZnw+62if31jie9veE93nwvW0+2F0f0oXOk4WqegECqXN1Ro2H3&#10;9jC7ARGiodr0jlDDNwZY5+dnmUlrN9IrHsvYCC6hkBoNbYxDKmWoWrQmzN2AxN6H89ZEPn0ja29G&#10;Lre9VElyLa3piD+0ZsC7Fquv8mA1vI/lo99uNp8vw1Nx2p7K4hnvC60vL6bbFYiIU/wLwy8+o0PO&#10;THt3oDqIXgMPiRpmC8WCbbVYKhB7Folagswz+X9A/gMAAP//AwBQSwECLQAUAAYACAAAACEAtoM4&#10;kv4AAADhAQAAEwAAAAAAAAAAAAAAAAAAAAAAW0NvbnRlbnRfVHlwZXNdLnhtbFBLAQItABQABgAI&#10;AAAAIQA4/SH/1gAAAJQBAAALAAAAAAAAAAAAAAAAAC8BAABfcmVscy8ucmVsc1BLAQItABQABgAI&#10;AAAAIQD5JbOKUQIAAKIEAAAOAAAAAAAAAAAAAAAAAC4CAABkcnMvZTJvRG9jLnhtbFBLAQItABQA&#10;BgAIAAAAIQCbeIIi3wAAAAgBAAAPAAAAAAAAAAAAAAAAAKsEAABkcnMvZG93bnJldi54bWxQSwUG&#10;AAAAAAQABADzAAAAtwUAAAAA&#10;" fillcolor="window" stroked="f" strokeweight=".5pt">
              <v:textbox>
                <w:txbxContent>
                  <w:p w14:paraId="7D457741" w14:textId="77777777" w:rsidR="009B71A1" w:rsidRDefault="009B71A1" w:rsidP="009B71A1">
                    <w:r>
                      <w:rPr>
                        <w:noProof/>
                        <w:lang w:eastAsia="en-AU"/>
                      </w:rPr>
                      <w:drawing>
                        <wp:inline distT="0" distB="0" distL="0" distR="0" wp14:anchorId="6CFD0121" wp14:editId="41214D64">
                          <wp:extent cx="1102434" cy="1113182"/>
                          <wp:effectExtent l="0" t="0" r="254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06890" cy="11176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5174B2">
      <w:rPr>
        <w:rFonts w:ascii="Trebuchet MS" w:eastAsia="Times New Roman" w:hAnsi="Trebuchet MS" w:cs="Arial"/>
        <w:b/>
        <w:bCs/>
        <w:kern w:val="32"/>
        <w:sz w:val="36"/>
        <w:szCs w:val="28"/>
      </w:rPr>
      <w:t>John Readings</w:t>
    </w:r>
    <w:bookmarkEnd w:id="1"/>
    <w:r w:rsidRPr="005174B2">
      <w:rPr>
        <w:rFonts w:ascii="Arial" w:eastAsia="Times New Roman" w:hAnsi="Arial" w:cs="Arial"/>
        <w:b/>
        <w:bCs/>
        <w:kern w:val="32"/>
        <w:sz w:val="36"/>
        <w:szCs w:val="28"/>
      </w:rPr>
      <w:t xml:space="preserve">         </w:t>
    </w:r>
    <w:r w:rsidRPr="005174B2">
      <w:rPr>
        <w:rFonts w:ascii="Arial" w:eastAsia="Times New Roman" w:hAnsi="Arial" w:cs="Arial"/>
        <w:b/>
        <w:bCs/>
        <w:i/>
        <w:kern w:val="32"/>
        <w:sz w:val="32"/>
        <w:szCs w:val="32"/>
      </w:rPr>
      <w:t xml:space="preserve">             </w:t>
    </w:r>
    <w:bookmarkStart w:id="2" w:name="_Toc2616774"/>
    <w:r w:rsidRPr="005174B2">
      <w:rPr>
        <w:rFonts w:ascii="Trebuchet MS" w:eastAsia="Times New Roman" w:hAnsi="Trebuchet MS" w:cs="Arial"/>
        <w:b/>
        <w:bCs/>
        <w:i/>
        <w:kern w:val="32"/>
        <w:sz w:val="40"/>
        <w:szCs w:val="40"/>
      </w:rPr>
      <w:t>BookCafé</w:t>
    </w:r>
    <w:bookmarkEnd w:id="2"/>
  </w:p>
  <w:p w14:paraId="78207BA8" w14:textId="77777777" w:rsidR="00D533C5" w:rsidRDefault="00D533C5" w:rsidP="00D53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D8"/>
    <w:multiLevelType w:val="hybridMultilevel"/>
    <w:tmpl w:val="85EE7234"/>
    <w:lvl w:ilvl="0" w:tplc="DB36384E">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650E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ocumentProtection w:edit="readOnly" w:enforcement="1" w:cryptProviderType="rsaAES" w:cryptAlgorithmClass="hash" w:cryptAlgorithmType="typeAny" w:cryptAlgorithmSid="14" w:cryptSpinCount="100000" w:hash="F0RgZHGUwXlQ3C+ry1fjf9wfXk7h7I0z5+Np2y6ZHY/xomO4UqnCOIFXggUpdAOpYhTyfvgN2vIWKU/B5E6zxw==" w:salt="bLEhhpQslukY28ibC7m8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EC"/>
    <w:rsid w:val="0017273B"/>
    <w:rsid w:val="002C12C9"/>
    <w:rsid w:val="003B4BF6"/>
    <w:rsid w:val="008340EC"/>
    <w:rsid w:val="009756E4"/>
    <w:rsid w:val="009B71A1"/>
    <w:rsid w:val="009F0E60"/>
    <w:rsid w:val="00C96D80"/>
    <w:rsid w:val="00D07900"/>
    <w:rsid w:val="00D533C5"/>
    <w:rsid w:val="00E77984"/>
    <w:rsid w:val="00ED4E72"/>
    <w:rsid w:val="00F66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DCD2"/>
  <w15:chartTrackingRefBased/>
  <w15:docId w15:val="{236D27A8-8461-436A-81B3-1F9B2D99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3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 Char"/>
    <w:basedOn w:val="Normal"/>
    <w:next w:val="Normal"/>
    <w:link w:val="Heading3Char1"/>
    <w:qFormat/>
    <w:rsid w:val="008340EC"/>
    <w:pPr>
      <w:keepNext/>
      <w:spacing w:before="360" w:after="120" w:line="240" w:lineRule="auto"/>
      <w:outlineLvl w:val="2"/>
    </w:pPr>
    <w:rPr>
      <w:rFonts w:ascii="Franklin Gothic Book" w:eastAsia="Times New Roman" w:hAnsi="Franklin Gothic Book" w:cs="Arial"/>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8340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8340EC"/>
    <w:pPr>
      <w:spacing w:before="120" w:after="120" w:line="276" w:lineRule="auto"/>
      <w:ind w:left="720"/>
    </w:pPr>
    <w:rPr>
      <w:rFonts w:ascii="Franklin Gothic Book" w:eastAsia="Times New Roman" w:hAnsi="Franklin Gothic Book" w:cs="Times New Roman"/>
      <w:szCs w:val="24"/>
      <w:lang w:val="en-US"/>
    </w:rPr>
  </w:style>
  <w:style w:type="character" w:customStyle="1" w:styleId="Heading3Char1">
    <w:name w:val="Heading 3 Char1"/>
    <w:aliases w:val=" Char Char"/>
    <w:basedOn w:val="DefaultParagraphFont"/>
    <w:link w:val="Heading3"/>
    <w:locked/>
    <w:rsid w:val="008340EC"/>
    <w:rPr>
      <w:rFonts w:ascii="Franklin Gothic Book" w:eastAsia="Times New Roman" w:hAnsi="Franklin Gothic Book" w:cs="Arial"/>
      <w:b/>
      <w:bCs/>
      <w:sz w:val="28"/>
      <w:szCs w:val="26"/>
      <w:lang w:val="en-US"/>
    </w:rPr>
  </w:style>
  <w:style w:type="character" w:customStyle="1" w:styleId="ListParagraphChar">
    <w:name w:val="List Paragraph Char"/>
    <w:basedOn w:val="DefaultParagraphFont"/>
    <w:link w:val="ListParagraph"/>
    <w:uiPriority w:val="34"/>
    <w:rsid w:val="008340EC"/>
    <w:rPr>
      <w:rFonts w:ascii="Franklin Gothic Book" w:eastAsia="Times New Roman" w:hAnsi="Franklin Gothic Book" w:cs="Times New Roman"/>
      <w:szCs w:val="24"/>
      <w:lang w:val="en-US"/>
    </w:rPr>
  </w:style>
  <w:style w:type="paragraph" w:styleId="Header">
    <w:name w:val="header"/>
    <w:basedOn w:val="Normal"/>
    <w:link w:val="HeaderChar"/>
    <w:uiPriority w:val="99"/>
    <w:unhideWhenUsed/>
    <w:rsid w:val="00D5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C5"/>
  </w:style>
  <w:style w:type="paragraph" w:styleId="Footer">
    <w:name w:val="footer"/>
    <w:basedOn w:val="Normal"/>
    <w:link w:val="FooterChar"/>
    <w:uiPriority w:val="99"/>
    <w:unhideWhenUsed/>
    <w:rsid w:val="00D5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C5"/>
  </w:style>
  <w:style w:type="character" w:customStyle="1" w:styleId="Heading2Char">
    <w:name w:val="Heading 2 Char"/>
    <w:basedOn w:val="DefaultParagraphFont"/>
    <w:link w:val="Heading2"/>
    <w:uiPriority w:val="9"/>
    <w:semiHidden/>
    <w:rsid w:val="00D533C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Alisa Tauava</cp:lastModifiedBy>
  <cp:revision>3</cp:revision>
  <dcterms:created xsi:type="dcterms:W3CDTF">2020-02-10T02:40:00Z</dcterms:created>
  <dcterms:modified xsi:type="dcterms:W3CDTF">2020-02-10T02:43:00Z</dcterms:modified>
</cp:coreProperties>
</file>