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4620" w14:textId="77777777" w:rsidR="00E26C5F" w:rsidRPr="00F07E3B" w:rsidRDefault="00E26C5F" w:rsidP="00F07E3B">
      <w:pPr>
        <w:pStyle w:val="AHSHead2"/>
        <w:pBdr>
          <w:bottom w:val="none" w:sz="0" w:space="0" w:color="auto"/>
        </w:pBdr>
        <w:spacing w:before="240" w:after="240" w:line="360" w:lineRule="auto"/>
        <w:rPr>
          <w:rFonts w:ascii="Arial" w:hAnsi="Arial" w:cs="Arial"/>
        </w:rPr>
      </w:pPr>
      <w:bookmarkStart w:id="0" w:name="_Toc314661235"/>
      <w:bookmarkStart w:id="1" w:name="_Toc388433474"/>
      <w:bookmarkStart w:id="2" w:name="_Toc388433989"/>
      <w:r w:rsidRPr="00F07E3B">
        <w:rPr>
          <w:rFonts w:ascii="Arial" w:hAnsi="Arial" w:cs="Arial"/>
        </w:rPr>
        <w:t>Remuneration Policy</w:t>
      </w:r>
      <w:bookmarkEnd w:id="0"/>
      <w:bookmarkEnd w:id="1"/>
      <w:bookmarkEnd w:id="2"/>
    </w:p>
    <w:p w14:paraId="466B2AD7" w14:textId="77777777" w:rsidR="00E26C5F" w:rsidRPr="00F07E3B" w:rsidRDefault="00E26C5F" w:rsidP="00F07E3B">
      <w:pPr>
        <w:pStyle w:val="Plan2"/>
        <w:spacing w:after="240" w:line="360" w:lineRule="auto"/>
        <w:jc w:val="both"/>
        <w:rPr>
          <w:rFonts w:ascii="Arial" w:hAnsi="Arial"/>
        </w:rPr>
      </w:pPr>
      <w:r w:rsidRPr="00F07E3B">
        <w:rPr>
          <w:rFonts w:ascii="Arial" w:hAnsi="Arial"/>
        </w:rPr>
        <w:t xml:space="preserve">Policy </w:t>
      </w:r>
      <w:r w:rsidR="00377A7D" w:rsidRPr="00F07E3B">
        <w:rPr>
          <w:rFonts w:ascii="Arial" w:hAnsi="Arial"/>
        </w:rPr>
        <w:t xml:space="preserve">and </w:t>
      </w:r>
      <w:r w:rsidRPr="00F07E3B">
        <w:rPr>
          <w:rFonts w:ascii="Arial" w:hAnsi="Arial"/>
        </w:rPr>
        <w:t>Purpose</w:t>
      </w:r>
    </w:p>
    <w:p w14:paraId="1857658E"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This policy establishes the framework and guidelines to be used by the organisation in determining remuneration arrangements for its employees and to assist staff in understanding the organisation’s position on staff remuneration.</w:t>
      </w:r>
    </w:p>
    <w:p w14:paraId="6BDFBE31"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 xml:space="preserve">The purpose of the policy is to: </w:t>
      </w:r>
    </w:p>
    <w:p w14:paraId="01905431" w14:textId="27A51899" w:rsidR="00E26C5F" w:rsidRPr="00F07E3B" w:rsidRDefault="00377A7D" w:rsidP="00F07E3B">
      <w:pPr>
        <w:pStyle w:val="ListParagraph"/>
        <w:numPr>
          <w:ilvl w:val="0"/>
          <w:numId w:val="8"/>
        </w:numPr>
        <w:spacing w:before="240" w:after="240" w:line="360" w:lineRule="auto"/>
        <w:contextualSpacing w:val="0"/>
        <w:jc w:val="both"/>
        <w:rPr>
          <w:rFonts w:ascii="Arial" w:hAnsi="Arial" w:cs="Arial"/>
          <w:szCs w:val="22"/>
        </w:rPr>
      </w:pPr>
      <w:r w:rsidRPr="00F07E3B">
        <w:rPr>
          <w:rFonts w:ascii="Arial" w:hAnsi="Arial" w:cs="Arial"/>
          <w:szCs w:val="22"/>
        </w:rPr>
        <w:t>A</w:t>
      </w:r>
      <w:r w:rsidR="00E26C5F" w:rsidRPr="00F07E3B">
        <w:rPr>
          <w:rFonts w:ascii="Arial" w:hAnsi="Arial" w:cs="Arial"/>
          <w:szCs w:val="22"/>
        </w:rPr>
        <w:t>ttract and retain employees of the required quality</w:t>
      </w:r>
      <w:r w:rsidR="00F07E3B">
        <w:rPr>
          <w:rFonts w:ascii="Arial" w:hAnsi="Arial" w:cs="Arial"/>
          <w:szCs w:val="22"/>
        </w:rPr>
        <w:t>,</w:t>
      </w:r>
    </w:p>
    <w:p w14:paraId="18FA8EFB" w14:textId="03AD6E6B" w:rsidR="00E26C5F" w:rsidRPr="00F07E3B" w:rsidRDefault="00377A7D" w:rsidP="00F07E3B">
      <w:pPr>
        <w:pStyle w:val="ListParagraph"/>
        <w:numPr>
          <w:ilvl w:val="0"/>
          <w:numId w:val="8"/>
        </w:numPr>
        <w:spacing w:before="240" w:after="240" w:line="360" w:lineRule="auto"/>
        <w:contextualSpacing w:val="0"/>
        <w:jc w:val="both"/>
        <w:rPr>
          <w:rFonts w:ascii="Arial" w:hAnsi="Arial" w:cs="Arial"/>
          <w:szCs w:val="22"/>
        </w:rPr>
      </w:pPr>
      <w:r w:rsidRPr="00F07E3B">
        <w:rPr>
          <w:rFonts w:ascii="Arial" w:hAnsi="Arial" w:cs="Arial"/>
          <w:szCs w:val="22"/>
        </w:rPr>
        <w:t>E</w:t>
      </w:r>
      <w:r w:rsidR="00E26C5F" w:rsidRPr="00F07E3B">
        <w:rPr>
          <w:rFonts w:ascii="Arial" w:hAnsi="Arial" w:cs="Arial"/>
          <w:szCs w:val="22"/>
        </w:rPr>
        <w:t xml:space="preserve">nsure the staff are appropriately compensated for the services </w:t>
      </w:r>
      <w:r w:rsidR="00C9551C" w:rsidRPr="00F07E3B">
        <w:rPr>
          <w:rFonts w:ascii="Arial" w:hAnsi="Arial" w:cs="Arial"/>
          <w:szCs w:val="22"/>
        </w:rPr>
        <w:t>they provide to the org.</w:t>
      </w:r>
      <w:r w:rsidR="00F07E3B">
        <w:rPr>
          <w:rFonts w:ascii="Arial" w:hAnsi="Arial" w:cs="Arial"/>
          <w:szCs w:val="22"/>
        </w:rPr>
        <w:t>,</w:t>
      </w:r>
    </w:p>
    <w:p w14:paraId="5F4BE8FB" w14:textId="2F71A144" w:rsidR="00E26C5F" w:rsidRPr="00F07E3B" w:rsidRDefault="00377A7D" w:rsidP="00F07E3B">
      <w:pPr>
        <w:pStyle w:val="ListParagraph"/>
        <w:numPr>
          <w:ilvl w:val="0"/>
          <w:numId w:val="8"/>
        </w:numPr>
        <w:spacing w:before="240" w:after="240" w:line="360" w:lineRule="auto"/>
        <w:contextualSpacing w:val="0"/>
        <w:jc w:val="both"/>
        <w:rPr>
          <w:rFonts w:ascii="Arial" w:hAnsi="Arial" w:cs="Arial"/>
          <w:szCs w:val="22"/>
        </w:rPr>
      </w:pPr>
      <w:r w:rsidRPr="00F07E3B">
        <w:rPr>
          <w:rFonts w:ascii="Arial" w:hAnsi="Arial" w:cs="Arial"/>
          <w:szCs w:val="22"/>
        </w:rPr>
        <w:t>E</w:t>
      </w:r>
      <w:r w:rsidR="00E26C5F" w:rsidRPr="00F07E3B">
        <w:rPr>
          <w:rFonts w:ascii="Arial" w:hAnsi="Arial" w:cs="Arial"/>
          <w:szCs w:val="22"/>
        </w:rPr>
        <w:t>nsure that remuneration levels are competitive with the external market</w:t>
      </w:r>
      <w:r w:rsidR="00F07E3B">
        <w:rPr>
          <w:rFonts w:ascii="Arial" w:hAnsi="Arial" w:cs="Arial"/>
          <w:szCs w:val="22"/>
        </w:rPr>
        <w:t>,</w:t>
      </w:r>
    </w:p>
    <w:p w14:paraId="7E35DA8E" w14:textId="35446F7E" w:rsidR="00E26C5F" w:rsidRPr="00F07E3B" w:rsidRDefault="00377A7D" w:rsidP="00F07E3B">
      <w:pPr>
        <w:pStyle w:val="ListParagraph"/>
        <w:numPr>
          <w:ilvl w:val="0"/>
          <w:numId w:val="8"/>
        </w:numPr>
        <w:spacing w:before="240" w:after="240" w:line="360" w:lineRule="auto"/>
        <w:contextualSpacing w:val="0"/>
        <w:jc w:val="both"/>
        <w:rPr>
          <w:rFonts w:ascii="Arial" w:hAnsi="Arial" w:cs="Arial"/>
          <w:szCs w:val="22"/>
        </w:rPr>
      </w:pPr>
      <w:r w:rsidRPr="00F07E3B">
        <w:rPr>
          <w:rFonts w:ascii="Arial" w:hAnsi="Arial" w:cs="Arial"/>
          <w:szCs w:val="22"/>
        </w:rPr>
        <w:t>E</w:t>
      </w:r>
      <w:r w:rsidR="00E26C5F" w:rsidRPr="00F07E3B">
        <w:rPr>
          <w:rFonts w:ascii="Arial" w:hAnsi="Arial" w:cs="Arial"/>
          <w:szCs w:val="22"/>
        </w:rPr>
        <w:t>ncourage and motivate staff to achieve the organisation’s strategic business objectives</w:t>
      </w:r>
      <w:r w:rsidR="00F07E3B">
        <w:rPr>
          <w:rFonts w:ascii="Arial" w:hAnsi="Arial" w:cs="Arial"/>
          <w:szCs w:val="22"/>
        </w:rPr>
        <w:t>,</w:t>
      </w:r>
    </w:p>
    <w:p w14:paraId="730E7B5C" w14:textId="1D75FAAF" w:rsidR="00E26C5F" w:rsidRPr="00F07E3B" w:rsidRDefault="00377A7D" w:rsidP="00F07E3B">
      <w:pPr>
        <w:pStyle w:val="ListParagraph"/>
        <w:numPr>
          <w:ilvl w:val="0"/>
          <w:numId w:val="8"/>
        </w:numPr>
        <w:spacing w:before="240" w:after="240" w:line="360" w:lineRule="auto"/>
        <w:contextualSpacing w:val="0"/>
        <w:jc w:val="both"/>
        <w:rPr>
          <w:rFonts w:ascii="Arial" w:hAnsi="Arial" w:cs="Arial"/>
          <w:szCs w:val="22"/>
        </w:rPr>
      </w:pPr>
      <w:r w:rsidRPr="00F07E3B">
        <w:rPr>
          <w:rFonts w:ascii="Arial" w:hAnsi="Arial" w:cs="Arial"/>
          <w:szCs w:val="22"/>
        </w:rPr>
        <w:t>P</w:t>
      </w:r>
      <w:r w:rsidR="00E26C5F" w:rsidRPr="00F07E3B">
        <w:rPr>
          <w:rFonts w:ascii="Arial" w:hAnsi="Arial" w:cs="Arial"/>
          <w:szCs w:val="22"/>
        </w:rPr>
        <w:t>romote and reinforce the organisation’s key values and appropriate employee behaviours</w:t>
      </w:r>
      <w:r w:rsidR="00F07E3B">
        <w:rPr>
          <w:rFonts w:ascii="Arial" w:hAnsi="Arial" w:cs="Arial"/>
          <w:szCs w:val="22"/>
        </w:rPr>
        <w:t>,</w:t>
      </w:r>
    </w:p>
    <w:p w14:paraId="0D9F6958" w14:textId="77777777" w:rsidR="00E26C5F" w:rsidRPr="00F07E3B" w:rsidRDefault="00377A7D" w:rsidP="00F07E3B">
      <w:pPr>
        <w:pStyle w:val="ListParagraph"/>
        <w:numPr>
          <w:ilvl w:val="0"/>
          <w:numId w:val="8"/>
        </w:numPr>
        <w:spacing w:before="240" w:after="240" w:line="360" w:lineRule="auto"/>
        <w:contextualSpacing w:val="0"/>
        <w:jc w:val="both"/>
        <w:rPr>
          <w:rFonts w:ascii="Arial" w:hAnsi="Arial" w:cs="Arial"/>
          <w:szCs w:val="22"/>
        </w:rPr>
      </w:pPr>
      <w:r w:rsidRPr="00F07E3B">
        <w:rPr>
          <w:rFonts w:ascii="Arial" w:hAnsi="Arial" w:cs="Arial"/>
          <w:szCs w:val="22"/>
        </w:rPr>
        <w:t>E</w:t>
      </w:r>
      <w:r w:rsidR="00E26C5F" w:rsidRPr="00F07E3B">
        <w:rPr>
          <w:rFonts w:ascii="Arial" w:hAnsi="Arial" w:cs="Arial"/>
          <w:szCs w:val="22"/>
        </w:rPr>
        <w:t>nsure a level of equity, consistency and transparency in employee remuneration.</w:t>
      </w:r>
    </w:p>
    <w:p w14:paraId="3798FE41" w14:textId="77777777" w:rsidR="00E26C5F" w:rsidRPr="00F07E3B" w:rsidRDefault="00E26C5F" w:rsidP="00F07E3B">
      <w:pPr>
        <w:pStyle w:val="Plan2"/>
        <w:spacing w:after="240" w:line="360" w:lineRule="auto"/>
        <w:jc w:val="both"/>
        <w:rPr>
          <w:rFonts w:ascii="Arial" w:hAnsi="Arial"/>
        </w:rPr>
      </w:pPr>
      <w:r w:rsidRPr="00F07E3B">
        <w:rPr>
          <w:rFonts w:ascii="Arial" w:hAnsi="Arial"/>
        </w:rPr>
        <w:t>Definitions</w:t>
      </w:r>
    </w:p>
    <w:p w14:paraId="035EE0AE"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 xml:space="preserve">Remuneration will comprise base salary and an annual bonus based on performance. The total of these components make up the employee’s remuneration package.  </w:t>
      </w:r>
    </w:p>
    <w:p w14:paraId="69DE1740" w14:textId="77777777" w:rsidR="00E26C5F" w:rsidRPr="00F07E3B" w:rsidRDefault="00E26C5F" w:rsidP="00F07E3B">
      <w:pPr>
        <w:pStyle w:val="Plan2"/>
        <w:spacing w:after="240" w:line="360" w:lineRule="auto"/>
        <w:jc w:val="both"/>
        <w:rPr>
          <w:rFonts w:ascii="Arial" w:hAnsi="Arial"/>
        </w:rPr>
      </w:pPr>
      <w:r w:rsidRPr="00F07E3B">
        <w:rPr>
          <w:rFonts w:ascii="Arial" w:hAnsi="Arial"/>
        </w:rPr>
        <w:t>Underlying Common Rule Award</w:t>
      </w:r>
    </w:p>
    <w:p w14:paraId="082EDA41"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 xml:space="preserve">Staff covered by the relevant underlying award, </w:t>
      </w:r>
      <w:r w:rsidRPr="00F07E3B">
        <w:rPr>
          <w:rFonts w:ascii="Arial" w:hAnsi="Arial" w:cs="Arial"/>
          <w:bCs/>
          <w:szCs w:val="22"/>
        </w:rPr>
        <w:t>Restaurant Industry Award 2010</w:t>
      </w:r>
      <w:r w:rsidR="00C9551C" w:rsidRPr="00F07E3B">
        <w:rPr>
          <w:rFonts w:ascii="Arial" w:hAnsi="Arial" w:cs="Arial"/>
          <w:szCs w:val="22"/>
        </w:rPr>
        <w:t xml:space="preserve">, will be paid </w:t>
      </w:r>
      <w:r w:rsidRPr="00F07E3B">
        <w:rPr>
          <w:rFonts w:ascii="Arial" w:hAnsi="Arial" w:cs="Arial"/>
          <w:szCs w:val="22"/>
        </w:rPr>
        <w:t>no less than the rate of pay set out in that award for the relevant position.</w:t>
      </w:r>
    </w:p>
    <w:p w14:paraId="0877A797" w14:textId="77777777" w:rsidR="00E26C5F" w:rsidRPr="00F07E3B" w:rsidRDefault="00E26C5F" w:rsidP="00F07E3B">
      <w:pPr>
        <w:pStyle w:val="Plan2"/>
        <w:spacing w:after="240" w:line="360" w:lineRule="auto"/>
        <w:jc w:val="both"/>
        <w:rPr>
          <w:rFonts w:ascii="Arial" w:hAnsi="Arial"/>
        </w:rPr>
      </w:pPr>
      <w:r w:rsidRPr="00F07E3B">
        <w:rPr>
          <w:rFonts w:ascii="Arial" w:hAnsi="Arial"/>
        </w:rPr>
        <w:t>Policy Coverage</w:t>
      </w:r>
    </w:p>
    <w:p w14:paraId="7164F344"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The staff remuneration policy covers all employees at all levels of the organisation.</w:t>
      </w:r>
    </w:p>
    <w:p w14:paraId="48D5665F" w14:textId="77777777" w:rsidR="00E26C5F" w:rsidRPr="00F07E3B" w:rsidRDefault="00E26C5F" w:rsidP="00F07E3B">
      <w:pPr>
        <w:pStyle w:val="Plan2"/>
        <w:spacing w:after="240" w:line="360" w:lineRule="auto"/>
        <w:jc w:val="both"/>
        <w:rPr>
          <w:rFonts w:ascii="Arial" w:hAnsi="Arial"/>
        </w:rPr>
      </w:pPr>
      <w:r w:rsidRPr="00F07E3B">
        <w:rPr>
          <w:rFonts w:ascii="Arial" w:hAnsi="Arial"/>
        </w:rPr>
        <w:lastRenderedPageBreak/>
        <w:t>Determining Base Salary Levels</w:t>
      </w:r>
    </w:p>
    <w:p w14:paraId="3DC52F4A"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 xml:space="preserve">Base salary levels will be determined by job evaluation. Job evaluation is the evaluation of the position from the information in the relevant position description, in terms of the level of required skills, competencies and knowledge, and criteria such as the level and impact of decision-making and authority to act.  </w:t>
      </w:r>
    </w:p>
    <w:p w14:paraId="50B40F7C"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 xml:space="preserve">Job evaluation will be carried out by the </w:t>
      </w:r>
      <w:r w:rsidR="00E123A8" w:rsidRPr="00F07E3B">
        <w:rPr>
          <w:rFonts w:ascii="Arial" w:hAnsi="Arial" w:cs="Arial"/>
          <w:szCs w:val="22"/>
        </w:rPr>
        <w:t>CEO (or their nominated person)</w:t>
      </w:r>
    </w:p>
    <w:p w14:paraId="26C2ED94"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The underlying principles of job evaluation include:</w:t>
      </w:r>
    </w:p>
    <w:p w14:paraId="1F20FEF7" w14:textId="521ED11B" w:rsidR="00E26C5F" w:rsidRPr="00F07E3B" w:rsidRDefault="00E123A8" w:rsidP="00F07E3B">
      <w:pPr>
        <w:pStyle w:val="ListParagraph"/>
        <w:numPr>
          <w:ilvl w:val="0"/>
          <w:numId w:val="9"/>
        </w:numPr>
        <w:spacing w:before="240" w:after="240" w:line="360" w:lineRule="auto"/>
        <w:contextualSpacing w:val="0"/>
        <w:jc w:val="both"/>
        <w:rPr>
          <w:rFonts w:ascii="Arial" w:hAnsi="Arial" w:cs="Arial"/>
          <w:szCs w:val="22"/>
        </w:rPr>
      </w:pPr>
      <w:r w:rsidRPr="00F07E3B">
        <w:rPr>
          <w:rFonts w:ascii="Arial" w:hAnsi="Arial" w:cs="Arial"/>
          <w:szCs w:val="22"/>
        </w:rPr>
        <w:t>S</w:t>
      </w:r>
      <w:r w:rsidR="00E26C5F" w:rsidRPr="00F07E3B">
        <w:rPr>
          <w:rFonts w:ascii="Arial" w:hAnsi="Arial" w:cs="Arial"/>
          <w:szCs w:val="22"/>
        </w:rPr>
        <w:t xml:space="preserve">alary levels will be paid no less than the rate of pay set out in the relevant underlying award, </w:t>
      </w:r>
      <w:r w:rsidR="00E26C5F" w:rsidRPr="00F07E3B">
        <w:rPr>
          <w:rFonts w:ascii="Arial" w:hAnsi="Arial" w:cs="Arial"/>
          <w:bCs/>
          <w:szCs w:val="22"/>
        </w:rPr>
        <w:t>Restaurant Industry Award 2010</w:t>
      </w:r>
      <w:r w:rsidR="00F07E3B">
        <w:rPr>
          <w:rFonts w:ascii="Arial" w:hAnsi="Arial" w:cs="Arial"/>
          <w:bCs/>
          <w:szCs w:val="22"/>
        </w:rPr>
        <w:t>,</w:t>
      </w:r>
    </w:p>
    <w:p w14:paraId="4FE2060C" w14:textId="0348E83B" w:rsidR="00E26C5F" w:rsidRPr="00F07E3B" w:rsidRDefault="00E123A8" w:rsidP="00F07E3B">
      <w:pPr>
        <w:pStyle w:val="ListParagraph"/>
        <w:numPr>
          <w:ilvl w:val="0"/>
          <w:numId w:val="9"/>
        </w:numPr>
        <w:spacing w:before="240" w:after="240" w:line="360" w:lineRule="auto"/>
        <w:contextualSpacing w:val="0"/>
        <w:jc w:val="both"/>
        <w:rPr>
          <w:rFonts w:ascii="Arial" w:hAnsi="Arial" w:cs="Arial"/>
          <w:szCs w:val="22"/>
        </w:rPr>
      </w:pPr>
      <w:r w:rsidRPr="00F07E3B">
        <w:rPr>
          <w:rFonts w:ascii="Arial" w:hAnsi="Arial" w:cs="Arial"/>
          <w:szCs w:val="22"/>
        </w:rPr>
        <w:t>S</w:t>
      </w:r>
      <w:r w:rsidR="00E26C5F" w:rsidRPr="00F07E3B">
        <w:rPr>
          <w:rFonts w:ascii="Arial" w:hAnsi="Arial" w:cs="Arial"/>
          <w:szCs w:val="22"/>
        </w:rPr>
        <w:t>alary levels are to be benchmarked on an annual basis (as part of the annual budgeting process) against the external market using salary surveys to establish competitiveness with similar positions in the external market</w:t>
      </w:r>
      <w:r w:rsidR="00F07E3B">
        <w:rPr>
          <w:rFonts w:ascii="Arial" w:hAnsi="Arial" w:cs="Arial"/>
          <w:szCs w:val="22"/>
        </w:rPr>
        <w:t>,</w:t>
      </w:r>
    </w:p>
    <w:p w14:paraId="2D0EDCAB" w14:textId="1F01D6BC" w:rsidR="00E26C5F" w:rsidRPr="00F07E3B" w:rsidRDefault="00E123A8" w:rsidP="00F07E3B">
      <w:pPr>
        <w:pStyle w:val="ListParagraph"/>
        <w:numPr>
          <w:ilvl w:val="0"/>
          <w:numId w:val="9"/>
        </w:numPr>
        <w:spacing w:before="240" w:after="240" w:line="360" w:lineRule="auto"/>
        <w:contextualSpacing w:val="0"/>
        <w:jc w:val="both"/>
        <w:rPr>
          <w:rFonts w:ascii="Arial" w:hAnsi="Arial" w:cs="Arial"/>
          <w:szCs w:val="22"/>
        </w:rPr>
      </w:pPr>
      <w:r w:rsidRPr="00F07E3B">
        <w:rPr>
          <w:rFonts w:ascii="Arial" w:hAnsi="Arial" w:cs="Arial"/>
          <w:szCs w:val="22"/>
        </w:rPr>
        <w:t>I</w:t>
      </w:r>
      <w:r w:rsidR="00E26C5F" w:rsidRPr="00F07E3B">
        <w:rPr>
          <w:rFonts w:ascii="Arial" w:hAnsi="Arial" w:cs="Arial"/>
          <w:szCs w:val="22"/>
        </w:rPr>
        <w:t>f the job changes as determined by a job evaluation, the base level remuneration should be altered to reflect the change in the employee’s role and responsibilities</w:t>
      </w:r>
      <w:r w:rsidR="00F07E3B">
        <w:rPr>
          <w:rFonts w:ascii="Arial" w:hAnsi="Arial" w:cs="Arial"/>
          <w:szCs w:val="22"/>
        </w:rPr>
        <w:t>,</w:t>
      </w:r>
    </w:p>
    <w:p w14:paraId="2E344B96" w14:textId="24979FBA" w:rsidR="00E26C5F" w:rsidRPr="00F07E3B" w:rsidRDefault="00E123A8" w:rsidP="00F07E3B">
      <w:pPr>
        <w:pStyle w:val="ListParagraph"/>
        <w:numPr>
          <w:ilvl w:val="0"/>
          <w:numId w:val="9"/>
        </w:numPr>
        <w:spacing w:before="240" w:after="240" w:line="360" w:lineRule="auto"/>
        <w:contextualSpacing w:val="0"/>
        <w:jc w:val="both"/>
        <w:rPr>
          <w:rFonts w:ascii="Arial" w:hAnsi="Arial" w:cs="Arial"/>
          <w:szCs w:val="22"/>
        </w:rPr>
      </w:pPr>
      <w:r w:rsidRPr="00F07E3B">
        <w:rPr>
          <w:rFonts w:ascii="Arial" w:hAnsi="Arial" w:cs="Arial"/>
          <w:szCs w:val="22"/>
        </w:rPr>
        <w:t>D</w:t>
      </w:r>
      <w:r w:rsidR="00E26C5F" w:rsidRPr="00F07E3B">
        <w:rPr>
          <w:rFonts w:ascii="Arial" w:hAnsi="Arial" w:cs="Arial"/>
          <w:szCs w:val="22"/>
        </w:rPr>
        <w:t>ecisions on broad salary increases (those that apply to all employees), such as CPI or cost of living based increases will be made on an annual basis by the owners</w:t>
      </w:r>
      <w:r w:rsidR="00F07E3B">
        <w:rPr>
          <w:rFonts w:ascii="Arial" w:hAnsi="Arial" w:cs="Arial"/>
          <w:szCs w:val="22"/>
        </w:rPr>
        <w:t>,</w:t>
      </w:r>
    </w:p>
    <w:p w14:paraId="27448D90" w14:textId="77777777" w:rsidR="00E26C5F" w:rsidRPr="00F07E3B" w:rsidRDefault="00E123A8" w:rsidP="00F07E3B">
      <w:pPr>
        <w:pStyle w:val="ListParagraph"/>
        <w:numPr>
          <w:ilvl w:val="0"/>
          <w:numId w:val="9"/>
        </w:numPr>
        <w:spacing w:before="240" w:after="240" w:line="360" w:lineRule="auto"/>
        <w:contextualSpacing w:val="0"/>
        <w:jc w:val="both"/>
        <w:rPr>
          <w:rFonts w:ascii="Arial" w:hAnsi="Arial" w:cs="Arial"/>
          <w:szCs w:val="22"/>
        </w:rPr>
      </w:pPr>
      <w:r w:rsidRPr="00F07E3B">
        <w:rPr>
          <w:rFonts w:ascii="Arial" w:hAnsi="Arial" w:cs="Arial"/>
          <w:szCs w:val="22"/>
        </w:rPr>
        <w:t>S</w:t>
      </w:r>
      <w:r w:rsidR="00E26C5F" w:rsidRPr="00F07E3B">
        <w:rPr>
          <w:rFonts w:ascii="Arial" w:hAnsi="Arial" w:cs="Arial"/>
          <w:szCs w:val="22"/>
        </w:rPr>
        <w:t>taff will have the opportunity to raise remuneration issues at six monthly performance review meetings with their manager.</w:t>
      </w:r>
    </w:p>
    <w:p w14:paraId="0BF79F83" w14:textId="77777777" w:rsidR="00E26C5F" w:rsidRPr="00F07E3B" w:rsidRDefault="00E26C5F" w:rsidP="00F07E3B">
      <w:pPr>
        <w:pStyle w:val="Plan2"/>
        <w:spacing w:after="240" w:line="360" w:lineRule="auto"/>
        <w:jc w:val="both"/>
        <w:rPr>
          <w:rFonts w:ascii="Arial" w:hAnsi="Arial"/>
        </w:rPr>
      </w:pPr>
      <w:r w:rsidRPr="00F07E3B">
        <w:rPr>
          <w:rFonts w:ascii="Arial" w:hAnsi="Arial"/>
        </w:rPr>
        <w:t>Staff Performance Plans</w:t>
      </w:r>
    </w:p>
    <w:p w14:paraId="35AF2208" w14:textId="77777777"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Staff will be provided with individual performance plans/</w:t>
      </w:r>
      <w:r w:rsidR="00E123A8" w:rsidRPr="00F07E3B">
        <w:rPr>
          <w:rFonts w:ascii="Arial" w:hAnsi="Arial" w:cs="Arial"/>
          <w:szCs w:val="22"/>
        </w:rPr>
        <w:t>work plans</w:t>
      </w:r>
      <w:r w:rsidRPr="00F07E3B">
        <w:rPr>
          <w:rFonts w:ascii="Arial" w:hAnsi="Arial" w:cs="Arial"/>
          <w:szCs w:val="22"/>
        </w:rPr>
        <w:t xml:space="preserve"> for the subsequent financial year. For new employees, a performance plan will be provided at the end of the probation period (first three months of employment). In further years, </w:t>
      </w:r>
      <w:r w:rsidR="00E123A8" w:rsidRPr="00F07E3B">
        <w:rPr>
          <w:rFonts w:ascii="Arial" w:hAnsi="Arial" w:cs="Arial"/>
          <w:szCs w:val="22"/>
        </w:rPr>
        <w:t>work plans</w:t>
      </w:r>
      <w:r w:rsidRPr="00F07E3B">
        <w:rPr>
          <w:rFonts w:ascii="Arial" w:hAnsi="Arial" w:cs="Arial"/>
          <w:szCs w:val="22"/>
        </w:rPr>
        <w:t xml:space="preserve"> are agreed upon after the July/August performance review has been conducted.</w:t>
      </w:r>
    </w:p>
    <w:p w14:paraId="4BADD4CA" w14:textId="77777777" w:rsidR="00F07E3B" w:rsidRDefault="00F07E3B">
      <w:pPr>
        <w:spacing w:before="0" w:after="160" w:line="259" w:lineRule="auto"/>
        <w:rPr>
          <w:rFonts w:ascii="Arial" w:hAnsi="Arial" w:cs="Arial"/>
          <w:szCs w:val="22"/>
        </w:rPr>
      </w:pPr>
      <w:r>
        <w:rPr>
          <w:rFonts w:ascii="Arial" w:hAnsi="Arial" w:cs="Arial"/>
          <w:szCs w:val="22"/>
        </w:rPr>
        <w:br w:type="page"/>
      </w:r>
    </w:p>
    <w:p w14:paraId="1AB964A6" w14:textId="67D75A3D" w:rsidR="00E26C5F"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lastRenderedPageBreak/>
        <w:t>The performance plans/</w:t>
      </w:r>
      <w:r w:rsidR="00E123A8" w:rsidRPr="00F07E3B">
        <w:rPr>
          <w:rFonts w:ascii="Arial" w:hAnsi="Arial" w:cs="Arial"/>
          <w:szCs w:val="22"/>
        </w:rPr>
        <w:t>work plans</w:t>
      </w:r>
      <w:r w:rsidRPr="00F07E3B">
        <w:rPr>
          <w:rFonts w:ascii="Arial" w:hAnsi="Arial" w:cs="Arial"/>
          <w:szCs w:val="22"/>
        </w:rPr>
        <w:t xml:space="preserve"> set out the role that the position is expected to play in the organisation achieving its strategic plans and objectives; the actions or activities required to achieve those objectives; and the criteria or standards used to assess the achievement of the objectives. In addition to business plans outcomes, the performance/</w:t>
      </w:r>
      <w:r w:rsidR="00E123A8" w:rsidRPr="00F07E3B">
        <w:rPr>
          <w:rFonts w:ascii="Arial" w:hAnsi="Arial" w:cs="Arial"/>
          <w:szCs w:val="22"/>
        </w:rPr>
        <w:t>work plans</w:t>
      </w:r>
      <w:r w:rsidRPr="00F07E3B">
        <w:rPr>
          <w:rFonts w:ascii="Arial" w:hAnsi="Arial" w:cs="Arial"/>
          <w:szCs w:val="22"/>
        </w:rPr>
        <w:t xml:space="preserve"> will include specific project and personal development goals.</w:t>
      </w:r>
    </w:p>
    <w:p w14:paraId="555702AE" w14:textId="77777777" w:rsidR="00750B77" w:rsidRPr="00F07E3B" w:rsidRDefault="00750B77" w:rsidP="00F07E3B">
      <w:pPr>
        <w:spacing w:before="240" w:after="240" w:line="360" w:lineRule="auto"/>
        <w:jc w:val="both"/>
        <w:rPr>
          <w:rFonts w:ascii="Arial" w:hAnsi="Arial" w:cs="Arial"/>
          <w:b/>
          <w:sz w:val="24"/>
        </w:rPr>
      </w:pPr>
      <w:r w:rsidRPr="00F07E3B">
        <w:rPr>
          <w:rFonts w:ascii="Arial" w:hAnsi="Arial" w:cs="Arial"/>
          <w:b/>
          <w:sz w:val="24"/>
        </w:rPr>
        <w:t>Related Policies/Company Documents</w:t>
      </w:r>
    </w:p>
    <w:p w14:paraId="060EA6E7" w14:textId="66C9222C" w:rsidR="00CA3556" w:rsidRPr="00F07E3B" w:rsidRDefault="00CA3556" w:rsidP="00F07E3B">
      <w:pPr>
        <w:pStyle w:val="ListParagraph"/>
        <w:numPr>
          <w:ilvl w:val="0"/>
          <w:numId w:val="10"/>
        </w:numPr>
        <w:spacing w:before="240" w:after="240" w:line="360" w:lineRule="auto"/>
        <w:contextualSpacing w:val="0"/>
        <w:jc w:val="both"/>
        <w:rPr>
          <w:rFonts w:ascii="Arial" w:hAnsi="Arial" w:cs="Arial"/>
          <w:szCs w:val="22"/>
        </w:rPr>
      </w:pPr>
      <w:r w:rsidRPr="00F07E3B">
        <w:rPr>
          <w:rFonts w:ascii="Arial" w:hAnsi="Arial" w:cs="Arial"/>
          <w:szCs w:val="22"/>
        </w:rPr>
        <w:t>BCG Performance Management System Policy</w:t>
      </w:r>
      <w:r w:rsidR="00F07E3B">
        <w:rPr>
          <w:rFonts w:ascii="Arial" w:hAnsi="Arial" w:cs="Arial"/>
          <w:szCs w:val="22"/>
        </w:rPr>
        <w:t>,</w:t>
      </w:r>
    </w:p>
    <w:p w14:paraId="7B25AFA6" w14:textId="4D30D530" w:rsidR="00CA3556" w:rsidRPr="00F07E3B" w:rsidRDefault="00CA3556" w:rsidP="00F07E3B">
      <w:pPr>
        <w:pStyle w:val="ListParagraph"/>
        <w:numPr>
          <w:ilvl w:val="0"/>
          <w:numId w:val="10"/>
        </w:numPr>
        <w:spacing w:before="240" w:after="240" w:line="360" w:lineRule="auto"/>
        <w:contextualSpacing w:val="0"/>
        <w:jc w:val="both"/>
        <w:rPr>
          <w:rFonts w:ascii="Arial" w:hAnsi="Arial" w:cs="Arial"/>
          <w:szCs w:val="22"/>
        </w:rPr>
      </w:pPr>
      <w:r w:rsidRPr="00F07E3B">
        <w:rPr>
          <w:rFonts w:ascii="Arial" w:hAnsi="Arial" w:cs="Arial"/>
          <w:szCs w:val="22"/>
        </w:rPr>
        <w:t>Standards of Operation for Performance Management</w:t>
      </w:r>
      <w:r w:rsidR="00F07E3B">
        <w:rPr>
          <w:rFonts w:ascii="Arial" w:hAnsi="Arial" w:cs="Arial"/>
          <w:szCs w:val="22"/>
        </w:rPr>
        <w:t>.</w:t>
      </w:r>
      <w:bookmarkStart w:id="3" w:name="_GoBack"/>
      <w:bookmarkEnd w:id="3"/>
    </w:p>
    <w:p w14:paraId="6FD07B4C" w14:textId="77777777" w:rsidR="00E26C5F" w:rsidRPr="00F07E3B" w:rsidRDefault="00E26C5F" w:rsidP="00F07E3B">
      <w:pPr>
        <w:pStyle w:val="Plan3"/>
        <w:spacing w:after="240" w:line="360" w:lineRule="auto"/>
        <w:jc w:val="both"/>
        <w:rPr>
          <w:rFonts w:ascii="Arial" w:hAnsi="Arial"/>
          <w:sz w:val="24"/>
          <w:szCs w:val="24"/>
        </w:rPr>
      </w:pPr>
      <w:r w:rsidRPr="00F07E3B">
        <w:rPr>
          <w:rFonts w:ascii="Arial" w:hAnsi="Arial"/>
          <w:sz w:val="24"/>
          <w:szCs w:val="24"/>
        </w:rPr>
        <w:t>Updated/authorised</w:t>
      </w:r>
    </w:p>
    <w:p w14:paraId="2C170686" w14:textId="77777777" w:rsidR="002A4DB3" w:rsidRPr="00F07E3B" w:rsidRDefault="00E26C5F" w:rsidP="00F07E3B">
      <w:pPr>
        <w:spacing w:before="240" w:after="240" w:line="360" w:lineRule="auto"/>
        <w:jc w:val="both"/>
        <w:rPr>
          <w:rFonts w:ascii="Arial" w:hAnsi="Arial" w:cs="Arial"/>
          <w:szCs w:val="22"/>
        </w:rPr>
      </w:pPr>
      <w:r w:rsidRPr="00F07E3B">
        <w:rPr>
          <w:rFonts w:ascii="Arial" w:hAnsi="Arial" w:cs="Arial"/>
          <w:szCs w:val="22"/>
        </w:rPr>
        <w:t xml:space="preserve">2014 – </w:t>
      </w:r>
      <w:r w:rsidR="00B941FF" w:rsidRPr="00F07E3B">
        <w:rPr>
          <w:rFonts w:ascii="Arial" w:hAnsi="Arial" w:cs="Arial"/>
          <w:szCs w:val="22"/>
        </w:rPr>
        <w:t>Jim Murphy CEO</w:t>
      </w:r>
    </w:p>
    <w:sectPr w:rsidR="002A4DB3" w:rsidRPr="00F07E3B" w:rsidSect="00F07E3B">
      <w:headerReference w:type="default" r:id="rId7"/>
      <w:footerReference w:type="default" r:id="rId8"/>
      <w:pgSz w:w="11906" w:h="16838"/>
      <w:pgMar w:top="1440" w:right="1440" w:bottom="1985"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E854" w14:textId="77777777" w:rsidR="00907EAC" w:rsidRDefault="00907EAC" w:rsidP="00F401A2">
      <w:pPr>
        <w:spacing w:before="0" w:after="0" w:line="240" w:lineRule="auto"/>
      </w:pPr>
      <w:r>
        <w:separator/>
      </w:r>
    </w:p>
  </w:endnote>
  <w:endnote w:type="continuationSeparator" w:id="0">
    <w:p w14:paraId="25424060" w14:textId="77777777" w:rsidR="00907EAC" w:rsidRDefault="00907EAC"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w:panose1 w:val="00000000000000000000"/>
    <w:charset w:val="00"/>
    <w:family w:val="swiss"/>
    <w:notTrueType/>
    <w:pitch w:val="default"/>
    <w:sig w:usb0="00000000"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3966" w14:textId="586AF68F" w:rsidR="00F07E3B" w:rsidRPr="001F3C4D" w:rsidRDefault="00F07E3B" w:rsidP="00F07E3B">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E8AEFF1" w14:textId="77777777" w:rsidR="00F07E3B" w:rsidRPr="001F3C4D" w:rsidRDefault="00F07E3B" w:rsidP="00F07E3B">
    <w:pPr>
      <w:pStyle w:val="Footer"/>
      <w:rPr>
        <w:rFonts w:ascii="Arial" w:hAnsi="Arial" w:cs="Arial"/>
        <w:b/>
        <w:bCs/>
        <w:sz w:val="20"/>
        <w:szCs w:val="20"/>
      </w:rPr>
    </w:pPr>
  </w:p>
  <w:p w14:paraId="5EDC478D" w14:textId="71A02AFE" w:rsidR="00332223" w:rsidRPr="00F07E3B" w:rsidRDefault="00F07E3B" w:rsidP="00F07E3B">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332223" w:rsidRPr="009C3E41">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2543" w14:textId="77777777" w:rsidR="00907EAC" w:rsidRDefault="00907EAC" w:rsidP="00F401A2">
      <w:pPr>
        <w:spacing w:before="0" w:after="0" w:line="240" w:lineRule="auto"/>
      </w:pPr>
      <w:r>
        <w:separator/>
      </w:r>
    </w:p>
  </w:footnote>
  <w:footnote w:type="continuationSeparator" w:id="0">
    <w:p w14:paraId="725F68E6" w14:textId="77777777" w:rsidR="00907EAC" w:rsidRDefault="00907EAC"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2EFB" w14:textId="77777777" w:rsidR="000A3690" w:rsidRPr="00FB75B1" w:rsidRDefault="00DE6953" w:rsidP="000A3690">
    <w:pPr>
      <w:pStyle w:val="Heading2"/>
      <w:spacing w:before="240" w:after="240" w:line="360" w:lineRule="auto"/>
      <w:ind w:left="1"/>
      <w:rPr>
        <w:rFonts w:ascii="Trebuchet MS" w:hAnsi="Trebuchet MS"/>
        <w:b w:val="0"/>
        <w:bCs w:val="0"/>
        <w:sz w:val="40"/>
        <w:szCs w:val="40"/>
      </w:rPr>
    </w:pPr>
    <w:r>
      <w:rPr>
        <w:noProof/>
        <w:lang w:eastAsia="en-AU"/>
      </w:rPr>
      <mc:AlternateContent>
        <mc:Choice Requires="wps">
          <w:drawing>
            <wp:anchor distT="0" distB="0" distL="114300" distR="114300" simplePos="0" relativeHeight="251661312" behindDoc="0" locked="0" layoutInCell="1" allowOverlap="1" wp14:anchorId="7C25277B" wp14:editId="38688B6D">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8EF1AF" w14:textId="77777777" w:rsidR="00F401A2" w:rsidRDefault="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" fillcolor="white [3201]" strokecolor="white [3212]" strokeweight=".5pt">
              <v:textbox>
                <w:txbxContent>
                  <w:p w:rsidR="00F401A2" w:rsidRDefault="00F401A2"/>
                </w:txbxContent>
              </v:textbox>
            </v:shape>
          </w:pict>
        </mc:Fallback>
      </mc:AlternateContent>
    </w:r>
    <w:bookmarkStart w:id="4" w:name="_Toc2616773"/>
    <w:r w:rsidR="000A3690" w:rsidRPr="00FB75B1">
      <w:rPr>
        <w:rFonts w:ascii="Trebuchet MS" w:hAnsi="Trebuchet MS"/>
        <w:noProof/>
        <w:lang w:eastAsia="en-AU"/>
      </w:rPr>
      <mc:AlternateContent>
        <mc:Choice Requires="wps">
          <w:drawing>
            <wp:anchor distT="0" distB="0" distL="114300" distR="114300" simplePos="0" relativeHeight="251663360" behindDoc="0" locked="0" layoutInCell="1" allowOverlap="1" wp14:anchorId="1DB9A440" wp14:editId="75DEE1F2">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B3DD4" w14:textId="77777777" w:rsidR="000A3690" w:rsidRDefault="000A3690" w:rsidP="000A3690">
                          <w:r>
                            <w:rPr>
                              <w:noProof/>
                              <w:lang w:val="en-AU" w:eastAsia="en-AU"/>
                            </w:rPr>
                            <w:drawing>
                              <wp:inline distT="0" distB="0" distL="0" distR="0" wp14:anchorId="23BE02DB" wp14:editId="799F501C">
                                <wp:extent cx="1057524" cy="1067834"/>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063779" cy="10741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9A440" id="_x0000_t202" coordsize="21600,21600" o:spt="202" path="m,l,21600r21600,l21600,xe">
              <v:stroke joinstyle="miter"/>
              <v:path gradientshapeok="t" o:connecttype="rect"/>
            </v:shapetype>
            <v:shape id="Text Box 30" o:spid="_x0000_s1027" type="#_x0000_t202" style="position:absolute;left:0;text-align:left;margin-left:71.4pt;margin-top:-21pt;width:122.6pt;height:12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" fillcolor="white [3201]" stroked="f" strokeweight=".5pt">
              <v:textbox>
                <w:txbxContent>
                  <w:p w14:paraId="1AAB3DD4" w14:textId="77777777" w:rsidR="000A3690" w:rsidRDefault="000A3690" w:rsidP="000A3690">
                    <w:r>
                      <w:rPr>
                        <w:noProof/>
                        <w:lang w:val="en-AU" w:eastAsia="en-AU"/>
                      </w:rPr>
                      <w:drawing>
                        <wp:inline distT="0" distB="0" distL="0" distR="0" wp14:anchorId="23BE02DB" wp14:editId="799F501C">
                          <wp:extent cx="1057524" cy="1067834"/>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063779" cy="10741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0A3690" w:rsidRPr="00FB75B1">
      <w:rPr>
        <w:rFonts w:ascii="Trebuchet MS" w:hAnsi="Trebuchet MS"/>
      </w:rPr>
      <w:t>John Readings</w:t>
    </w:r>
    <w:bookmarkEnd w:id="4"/>
    <w:r w:rsidR="000A3690">
      <w:rPr>
        <w:rFonts w:ascii="Arial" w:hAnsi="Arial"/>
      </w:rPr>
      <w:t xml:space="preserve">         </w:t>
    </w:r>
    <w:r w:rsidR="000A3690">
      <w:rPr>
        <w:rFonts w:ascii="Arial" w:hAnsi="Arial"/>
        <w:i/>
        <w:sz w:val="32"/>
        <w:szCs w:val="32"/>
      </w:rPr>
      <w:t xml:space="preserve">             </w:t>
    </w:r>
    <w:bookmarkStart w:id="5" w:name="_Toc2616774"/>
    <w:r w:rsidR="000A3690" w:rsidRPr="00FB75B1">
      <w:rPr>
        <w:rFonts w:ascii="Trebuchet MS" w:hAnsi="Trebuchet MS"/>
        <w:i/>
        <w:sz w:val="40"/>
        <w:szCs w:val="40"/>
      </w:rPr>
      <w:t>BookCafé</w:t>
    </w:r>
    <w:bookmarkEnd w:id="5"/>
  </w:p>
  <w:p w14:paraId="10D56760" w14:textId="77777777" w:rsidR="00F401A2" w:rsidRDefault="00F401A2" w:rsidP="000A3690">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39F"/>
    <w:multiLevelType w:val="multilevel"/>
    <w:tmpl w:val="7FC07DB8"/>
    <w:lvl w:ilvl="0">
      <w:start w:val="1"/>
      <w:numFmt w:val="bullet"/>
      <w:lvlText w:val="●"/>
      <w:lvlJc w:val="left"/>
      <w:pPr>
        <w:tabs>
          <w:tab w:val="num" w:pos="283"/>
        </w:tabs>
        <w:ind w:left="283" w:hanging="283"/>
      </w:pPr>
      <w:rPr>
        <w:rFonts w:ascii="Franklin Gothic Book" w:hAnsi="Franklin Gothic Book" w:hint="default"/>
        <w:sz w:val="20"/>
      </w:rPr>
    </w:lvl>
    <w:lvl w:ilvl="1">
      <w:start w:val="1"/>
      <w:numFmt w:val="bullet"/>
      <w:lvlText w:val="○"/>
      <w:lvlJc w:val="left"/>
      <w:pPr>
        <w:tabs>
          <w:tab w:val="num" w:pos="850"/>
        </w:tabs>
        <w:ind w:left="850" w:hanging="283"/>
      </w:pPr>
      <w:rPr>
        <w:rFonts w:ascii="Franklin Gothic Book" w:hAnsi="Franklin Gothic Book" w:hint="default"/>
        <w:sz w:val="22"/>
      </w:rPr>
    </w:lvl>
    <w:lvl w:ilvl="2">
      <w:start w:val="1"/>
      <w:numFmt w:val="bullet"/>
      <w:lvlText w:val="–"/>
      <w:lvlJc w:val="left"/>
      <w:pPr>
        <w:tabs>
          <w:tab w:val="num" w:pos="1417"/>
        </w:tabs>
        <w:ind w:left="1417" w:hanging="283"/>
      </w:pPr>
      <w:rPr>
        <w:rFonts w:ascii="Franklin Gothic Book" w:hAnsi="Franklin Gothic Book" w:hint="default"/>
        <w:sz w:val="22"/>
      </w:rPr>
    </w:lvl>
    <w:lvl w:ilvl="3">
      <w:start w:val="1"/>
      <w:numFmt w:val="decimal"/>
      <w:lvlText w:val="(%4)"/>
      <w:lvlJc w:val="left"/>
      <w:pPr>
        <w:ind w:left="1984" w:hanging="283"/>
      </w:pPr>
      <w:rPr>
        <w:rFonts w:hint="default"/>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33B140B4"/>
    <w:multiLevelType w:val="multilevel"/>
    <w:tmpl w:val="7FC07DB8"/>
    <w:lvl w:ilvl="0">
      <w:start w:val="1"/>
      <w:numFmt w:val="bullet"/>
      <w:lvlText w:val="●"/>
      <w:lvlJc w:val="left"/>
      <w:pPr>
        <w:tabs>
          <w:tab w:val="num" w:pos="283"/>
        </w:tabs>
        <w:ind w:left="283" w:hanging="283"/>
      </w:pPr>
      <w:rPr>
        <w:rFonts w:ascii="Franklin Gothic Book" w:hAnsi="Franklin Gothic Book" w:hint="default"/>
        <w:sz w:val="20"/>
      </w:rPr>
    </w:lvl>
    <w:lvl w:ilvl="1">
      <w:start w:val="1"/>
      <w:numFmt w:val="bullet"/>
      <w:lvlText w:val="○"/>
      <w:lvlJc w:val="left"/>
      <w:pPr>
        <w:tabs>
          <w:tab w:val="num" w:pos="850"/>
        </w:tabs>
        <w:ind w:left="850" w:hanging="283"/>
      </w:pPr>
      <w:rPr>
        <w:rFonts w:ascii="Franklin Gothic Book" w:hAnsi="Franklin Gothic Book" w:hint="default"/>
        <w:sz w:val="22"/>
      </w:rPr>
    </w:lvl>
    <w:lvl w:ilvl="2">
      <w:start w:val="1"/>
      <w:numFmt w:val="bullet"/>
      <w:lvlText w:val="–"/>
      <w:lvlJc w:val="left"/>
      <w:pPr>
        <w:tabs>
          <w:tab w:val="num" w:pos="1417"/>
        </w:tabs>
        <w:ind w:left="1417" w:hanging="283"/>
      </w:pPr>
      <w:rPr>
        <w:rFonts w:ascii="Franklin Gothic Book" w:hAnsi="Franklin Gothic Book" w:hint="default"/>
        <w:sz w:val="22"/>
      </w:rPr>
    </w:lvl>
    <w:lvl w:ilvl="3">
      <w:start w:val="1"/>
      <w:numFmt w:val="decimal"/>
      <w:lvlText w:val="(%4)"/>
      <w:lvlJc w:val="left"/>
      <w:pPr>
        <w:ind w:left="1984" w:hanging="283"/>
      </w:pPr>
      <w:rPr>
        <w:rFonts w:hint="default"/>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7" w15:restartNumberingAfterBreak="0">
    <w:nsid w:val="69A663ED"/>
    <w:multiLevelType w:val="hybridMultilevel"/>
    <w:tmpl w:val="7784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2"/>
  </w:num>
  <w:num w:numId="2">
    <w:abstractNumId w:val="1"/>
  </w:num>
  <w:num w:numId="3">
    <w:abstractNumId w:val="9"/>
  </w:num>
  <w:num w:numId="4">
    <w:abstractNumId w:val="4"/>
  </w:num>
  <w:num w:numId="5">
    <w:abstractNumId w:val="8"/>
  </w:num>
  <w:num w:numId="6">
    <w:abstractNumId w:val="3"/>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fZM71da9TS2dC52GUlWtjs2y3rbmmu9QQeaS2FP6RX/snUG4GhFgZ5JxuTsA4Y2HsiMfDashuz0H2/iC/6Lecw==" w:salt="XjYeQwHrY0jqi2VHTpAj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42E2"/>
    <w:rsid w:val="00071EA0"/>
    <w:rsid w:val="000809D7"/>
    <w:rsid w:val="00090052"/>
    <w:rsid w:val="000A3690"/>
    <w:rsid w:val="000C603D"/>
    <w:rsid w:val="000F1F4C"/>
    <w:rsid w:val="00103488"/>
    <w:rsid w:val="001146BA"/>
    <w:rsid w:val="001320F3"/>
    <w:rsid w:val="00194664"/>
    <w:rsid w:val="00195F62"/>
    <w:rsid w:val="001E5B7A"/>
    <w:rsid w:val="0020334D"/>
    <w:rsid w:val="002110CF"/>
    <w:rsid w:val="002949FB"/>
    <w:rsid w:val="002A4DB3"/>
    <w:rsid w:val="003222D8"/>
    <w:rsid w:val="00325D52"/>
    <w:rsid w:val="00332223"/>
    <w:rsid w:val="00344735"/>
    <w:rsid w:val="00355874"/>
    <w:rsid w:val="0037010A"/>
    <w:rsid w:val="00371D37"/>
    <w:rsid w:val="00377A7D"/>
    <w:rsid w:val="003E625F"/>
    <w:rsid w:val="003F6302"/>
    <w:rsid w:val="004623B8"/>
    <w:rsid w:val="00486269"/>
    <w:rsid w:val="004F5378"/>
    <w:rsid w:val="005343BE"/>
    <w:rsid w:val="005B0EA0"/>
    <w:rsid w:val="005B3A7A"/>
    <w:rsid w:val="005C54AA"/>
    <w:rsid w:val="0062618E"/>
    <w:rsid w:val="006A4016"/>
    <w:rsid w:val="006B3690"/>
    <w:rsid w:val="006C3761"/>
    <w:rsid w:val="006D25B9"/>
    <w:rsid w:val="007224FB"/>
    <w:rsid w:val="007507D7"/>
    <w:rsid w:val="00750B77"/>
    <w:rsid w:val="007919EE"/>
    <w:rsid w:val="007C0014"/>
    <w:rsid w:val="007E3B43"/>
    <w:rsid w:val="00807476"/>
    <w:rsid w:val="00811099"/>
    <w:rsid w:val="00821639"/>
    <w:rsid w:val="00823C9A"/>
    <w:rsid w:val="008714D0"/>
    <w:rsid w:val="0088602C"/>
    <w:rsid w:val="008D29CB"/>
    <w:rsid w:val="008E31A1"/>
    <w:rsid w:val="008E7508"/>
    <w:rsid w:val="0090747E"/>
    <w:rsid w:val="00907EAC"/>
    <w:rsid w:val="009566DA"/>
    <w:rsid w:val="00982F6C"/>
    <w:rsid w:val="009C3E41"/>
    <w:rsid w:val="00A65EF4"/>
    <w:rsid w:val="00AA36AB"/>
    <w:rsid w:val="00AB6080"/>
    <w:rsid w:val="00AC7A36"/>
    <w:rsid w:val="00B30F6F"/>
    <w:rsid w:val="00B52636"/>
    <w:rsid w:val="00B8030E"/>
    <w:rsid w:val="00B941FF"/>
    <w:rsid w:val="00C5308B"/>
    <w:rsid w:val="00C56A7D"/>
    <w:rsid w:val="00C62E83"/>
    <w:rsid w:val="00C7008A"/>
    <w:rsid w:val="00C934FF"/>
    <w:rsid w:val="00C9551C"/>
    <w:rsid w:val="00CA3556"/>
    <w:rsid w:val="00D30B37"/>
    <w:rsid w:val="00D34A11"/>
    <w:rsid w:val="00D821C9"/>
    <w:rsid w:val="00DD0000"/>
    <w:rsid w:val="00DD25BC"/>
    <w:rsid w:val="00DD70FA"/>
    <w:rsid w:val="00DE0589"/>
    <w:rsid w:val="00DE6953"/>
    <w:rsid w:val="00E06BF6"/>
    <w:rsid w:val="00E123A8"/>
    <w:rsid w:val="00E128A5"/>
    <w:rsid w:val="00E15929"/>
    <w:rsid w:val="00E26C5F"/>
    <w:rsid w:val="00E76307"/>
    <w:rsid w:val="00F07E3B"/>
    <w:rsid w:val="00F401A2"/>
    <w:rsid w:val="00F54A2A"/>
    <w:rsid w:val="00F60876"/>
    <w:rsid w:val="00F91C75"/>
    <w:rsid w:val="00F938DD"/>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C724"/>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iPriority w:val="99"/>
    <w:unhideWhenUsed/>
    <w:rsid w:val="00F4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 w:type="paragraph" w:customStyle="1" w:styleId="AHSbullet1">
    <w:name w:val="AHS bullet 1"/>
    <w:basedOn w:val="ListParagraph"/>
    <w:qFormat/>
    <w:rsid w:val="0088602C"/>
    <w:pPr>
      <w:numPr>
        <w:numId w:val="3"/>
      </w:numPr>
      <w:contextualSpacing w:val="0"/>
    </w:pPr>
    <w:rPr>
      <w:rFonts w:ascii="Verdana" w:hAnsi="Verdana"/>
      <w:szCs w:val="22"/>
      <w:lang w:val="en-AU" w:eastAsia="en-AU"/>
    </w:rPr>
  </w:style>
  <w:style w:type="paragraph" w:customStyle="1" w:styleId="AHSHead3">
    <w:name w:val="AHS Head 3"/>
    <w:basedOn w:val="Normal"/>
    <w:qFormat/>
    <w:rsid w:val="0088602C"/>
    <w:pPr>
      <w:keepNext/>
      <w:tabs>
        <w:tab w:val="left" w:pos="4768"/>
      </w:tabs>
      <w:spacing w:before="360"/>
    </w:pPr>
    <w:rPr>
      <w:rFonts w:ascii="Verdana" w:hAnsi="Verdana" w:cs="Arial"/>
      <w:b/>
      <w:color w:val="000000"/>
      <w:sz w:val="28"/>
      <w:szCs w:val="28"/>
      <w:lang w:val="en-AU" w:eastAsia="en-AU"/>
    </w:rPr>
  </w:style>
  <w:style w:type="paragraph" w:customStyle="1" w:styleId="AHHead4">
    <w:name w:val="AH Head 4"/>
    <w:basedOn w:val="Normal"/>
    <w:qFormat/>
    <w:rsid w:val="0088602C"/>
    <w:pPr>
      <w:spacing w:before="240"/>
    </w:pPr>
    <w:rPr>
      <w:rFonts w:ascii="Verdana" w:hAnsi="Verdana" w:cs="TimesNewRomanPSMT"/>
      <w:b/>
      <w:bCs/>
      <w:sz w:val="24"/>
      <w:lang w:val="en-AU" w:eastAsia="en-AU"/>
    </w:rPr>
  </w:style>
  <w:style w:type="character" w:styleId="Hyperlink">
    <w:name w:val="Hyperlink"/>
    <w:basedOn w:val="DefaultParagraphFont"/>
    <w:uiPriority w:val="99"/>
    <w:rsid w:val="0088602C"/>
    <w:rPr>
      <w:i/>
      <w:color w:val="auto"/>
      <w:u w:val="none"/>
    </w:rPr>
  </w:style>
  <w:style w:type="paragraph" w:styleId="BodyText">
    <w:name w:val="Body Text"/>
    <w:basedOn w:val="Normal"/>
    <w:link w:val="BodyTextChar"/>
    <w:rsid w:val="00194664"/>
    <w:rPr>
      <w:rFonts w:ascii="Verdana" w:hAnsi="Verdana"/>
      <w:lang w:val="en-AU" w:eastAsia="en-AU"/>
    </w:rPr>
  </w:style>
  <w:style w:type="character" w:customStyle="1" w:styleId="BodyTextChar">
    <w:name w:val="Body Text Char"/>
    <w:basedOn w:val="DefaultParagraphFont"/>
    <w:link w:val="BodyText"/>
    <w:rsid w:val="00194664"/>
    <w:rPr>
      <w:rFonts w:ascii="Verdana" w:eastAsia="Times New Roman" w:hAnsi="Verdana" w:cs="Times New Roman"/>
      <w:szCs w:val="24"/>
      <w:lang w:eastAsia="en-AU"/>
    </w:rPr>
  </w:style>
  <w:style w:type="paragraph" w:customStyle="1" w:styleId="AHSHead2">
    <w:name w:val="AHS Head 2"/>
    <w:basedOn w:val="Normal"/>
    <w:qFormat/>
    <w:rsid w:val="00194664"/>
    <w:pPr>
      <w:pBdr>
        <w:bottom w:val="single" w:sz="4" w:space="1" w:color="auto"/>
      </w:pBdr>
      <w:spacing w:before="360" w:after="360"/>
    </w:pPr>
    <w:rPr>
      <w:rFonts w:ascii="Verdana" w:hAnsi="Verdana"/>
      <w:b/>
      <w:sz w:val="32"/>
      <w:szCs w:val="32"/>
      <w:lang w:val="en-AU" w:eastAsia="en-AU"/>
    </w:rPr>
  </w:style>
  <w:style w:type="paragraph" w:customStyle="1" w:styleId="Plan2">
    <w:name w:val="Plan 2"/>
    <w:basedOn w:val="Normal"/>
    <w:qFormat/>
    <w:rsid w:val="00E26C5F"/>
    <w:pPr>
      <w:keepNext/>
      <w:tabs>
        <w:tab w:val="left" w:pos="4768"/>
      </w:tabs>
      <w:spacing w:before="240"/>
    </w:pPr>
    <w:rPr>
      <w:rFonts w:ascii="Verdana" w:hAnsi="Verdana" w:cs="Arial"/>
      <w:b/>
      <w:color w:val="000000"/>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2976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3492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Strategic Plan</dc:title>
  <dc:subject>John Readings</dc:subject>
  <dc:creator>Helen Sabell</dc:creator>
  <cp:keywords/>
  <dc:description/>
  <cp:lastModifiedBy>Sarah Sabell</cp:lastModifiedBy>
  <cp:revision>4</cp:revision>
  <dcterms:created xsi:type="dcterms:W3CDTF">2019-06-26T08:45:00Z</dcterms:created>
  <dcterms:modified xsi:type="dcterms:W3CDTF">2019-07-09T08:17:00Z</dcterms:modified>
  <cp:category>Case Study</cp:category>
</cp:coreProperties>
</file>