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7630" w14:textId="77777777" w:rsidR="006C40AE" w:rsidRPr="00BD2807" w:rsidRDefault="006C40AE" w:rsidP="00BD2807">
      <w:pPr>
        <w:pStyle w:val="AHSHead2"/>
        <w:pBdr>
          <w:bottom w:val="none" w:sz="0" w:space="0" w:color="auto"/>
        </w:pBdr>
        <w:rPr>
          <w:rFonts w:ascii="Arial" w:hAnsi="Arial" w:cs="Arial"/>
        </w:rPr>
      </w:pPr>
      <w:bookmarkStart w:id="0" w:name="_Toc314661240"/>
      <w:bookmarkStart w:id="1" w:name="_Toc388433475"/>
      <w:bookmarkStart w:id="2" w:name="_Toc388433990"/>
      <w:r w:rsidRPr="00BD2807">
        <w:rPr>
          <w:rFonts w:ascii="Arial" w:hAnsi="Arial" w:cs="Arial"/>
        </w:rPr>
        <w:t>Occupational Health and Safety (OHS) Policy</w:t>
      </w:r>
      <w:bookmarkEnd w:id="0"/>
      <w:bookmarkEnd w:id="1"/>
      <w:bookmarkEnd w:id="2"/>
    </w:p>
    <w:p w14:paraId="05020694" w14:textId="77777777" w:rsidR="006C40AE" w:rsidRPr="00BD2807" w:rsidRDefault="00BE5EB1" w:rsidP="00BD2807">
      <w:pPr>
        <w:spacing w:line="360" w:lineRule="auto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BCG</w:t>
      </w:r>
      <w:r w:rsidR="006C40AE" w:rsidRPr="00BD2807">
        <w:rPr>
          <w:rFonts w:ascii="Arial" w:hAnsi="Arial" w:cs="Arial"/>
          <w:szCs w:val="22"/>
        </w:rPr>
        <w:t xml:space="preserve"> </w:t>
      </w:r>
      <w:proofErr w:type="spellStart"/>
      <w:r w:rsidR="006C40AE" w:rsidRPr="00BD2807">
        <w:rPr>
          <w:rFonts w:ascii="Arial" w:hAnsi="Arial" w:cs="Arial"/>
          <w:szCs w:val="22"/>
        </w:rPr>
        <w:t>recognises</w:t>
      </w:r>
      <w:proofErr w:type="spellEnd"/>
      <w:r w:rsidR="006C40AE" w:rsidRPr="00BD2807">
        <w:rPr>
          <w:rFonts w:ascii="Arial" w:hAnsi="Arial" w:cs="Arial"/>
          <w:szCs w:val="22"/>
        </w:rPr>
        <w:t xml:space="preserve"> its responsibility to provide a healthy and safe working environment for employees, contractors, clients and visitors. </w:t>
      </w:r>
      <w:r w:rsidRPr="00BD2807">
        <w:rPr>
          <w:rFonts w:ascii="Arial" w:hAnsi="Arial" w:cs="Arial"/>
          <w:szCs w:val="22"/>
        </w:rPr>
        <w:t>BCG</w:t>
      </w:r>
      <w:r w:rsidR="006C40AE" w:rsidRPr="00BD2807">
        <w:rPr>
          <w:rFonts w:ascii="Arial" w:hAnsi="Arial" w:cs="Arial"/>
          <w:szCs w:val="22"/>
        </w:rPr>
        <w:t xml:space="preserve"> is committed to the continued wellbeing of its employees and to ensuring that all employees are safe from injury and health risks whilst undertaking work-related duties, including home-based work.</w:t>
      </w:r>
      <w:bookmarkStart w:id="3" w:name="_GoBack"/>
      <w:bookmarkEnd w:id="3"/>
    </w:p>
    <w:p w14:paraId="39C307E6" w14:textId="77777777" w:rsidR="006C40AE" w:rsidRPr="00BD2807" w:rsidRDefault="006C40AE" w:rsidP="00BD2807">
      <w:pPr>
        <w:pStyle w:val="Plan2"/>
        <w:spacing w:line="360" w:lineRule="auto"/>
        <w:rPr>
          <w:rFonts w:ascii="Arial" w:hAnsi="Arial"/>
        </w:rPr>
      </w:pPr>
      <w:r w:rsidRPr="00BD2807">
        <w:rPr>
          <w:rFonts w:ascii="Arial" w:hAnsi="Arial"/>
        </w:rPr>
        <w:t>Objectives</w:t>
      </w:r>
    </w:p>
    <w:p w14:paraId="0A12DBDF" w14:textId="77777777" w:rsidR="006C40AE" w:rsidRPr="00BD2807" w:rsidRDefault="006C40AE" w:rsidP="00BD2807">
      <w:pPr>
        <w:spacing w:line="360" w:lineRule="auto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 xml:space="preserve">In order to ensure a healthy and safe working environment, </w:t>
      </w:r>
      <w:r w:rsidR="00784125" w:rsidRPr="00BD2807">
        <w:rPr>
          <w:rFonts w:ascii="Arial" w:hAnsi="Arial" w:cs="Arial"/>
          <w:szCs w:val="22"/>
        </w:rPr>
        <w:t>BCG</w:t>
      </w:r>
      <w:r w:rsidRPr="00BD2807">
        <w:rPr>
          <w:rFonts w:ascii="Arial" w:hAnsi="Arial" w:cs="Arial"/>
          <w:szCs w:val="22"/>
        </w:rPr>
        <w:t xml:space="preserve"> will:</w:t>
      </w:r>
    </w:p>
    <w:p w14:paraId="1089C146" w14:textId="2FB7062C" w:rsidR="006C40AE" w:rsidRPr="00BD2807" w:rsidRDefault="00784125" w:rsidP="00BD280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U</w:t>
      </w:r>
      <w:r w:rsidR="006C40AE" w:rsidRPr="00BD2807">
        <w:rPr>
          <w:rFonts w:ascii="Arial" w:hAnsi="Arial" w:cs="Arial"/>
          <w:szCs w:val="22"/>
        </w:rPr>
        <w:t>ndertake risk assessments and implement procedures to adequately manage any risks in the working environment</w:t>
      </w:r>
      <w:r w:rsidR="00BD2807">
        <w:rPr>
          <w:rFonts w:ascii="Arial" w:hAnsi="Arial" w:cs="Arial"/>
          <w:szCs w:val="22"/>
        </w:rPr>
        <w:t>,</w:t>
      </w:r>
    </w:p>
    <w:p w14:paraId="0FC843F1" w14:textId="1B748D3E" w:rsidR="006C40AE" w:rsidRPr="00BD2807" w:rsidRDefault="00784125" w:rsidP="00BD280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P</w:t>
      </w:r>
      <w:r w:rsidR="006C40AE" w:rsidRPr="00BD2807">
        <w:rPr>
          <w:rFonts w:ascii="Arial" w:hAnsi="Arial" w:cs="Arial"/>
          <w:szCs w:val="22"/>
        </w:rPr>
        <w:t>rovide written procedures and instructions for safe working practices</w:t>
      </w:r>
      <w:r w:rsidR="00BD2807">
        <w:rPr>
          <w:rFonts w:ascii="Arial" w:hAnsi="Arial" w:cs="Arial"/>
          <w:szCs w:val="22"/>
        </w:rPr>
        <w:t>,</w:t>
      </w:r>
    </w:p>
    <w:p w14:paraId="10E34028" w14:textId="615B5365" w:rsidR="006C40AE" w:rsidRPr="00BD2807" w:rsidRDefault="00784125" w:rsidP="00BD280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E</w:t>
      </w:r>
      <w:r w:rsidR="006C40AE" w:rsidRPr="00BD2807">
        <w:rPr>
          <w:rFonts w:ascii="Arial" w:hAnsi="Arial" w:cs="Arial"/>
          <w:szCs w:val="22"/>
        </w:rPr>
        <w:t>nsure compliance with all relevant legislation</w:t>
      </w:r>
      <w:r w:rsidR="00BD2807">
        <w:rPr>
          <w:rFonts w:ascii="Arial" w:hAnsi="Arial" w:cs="Arial"/>
          <w:szCs w:val="22"/>
        </w:rPr>
        <w:t>,</w:t>
      </w:r>
    </w:p>
    <w:p w14:paraId="7920FC92" w14:textId="079B3BA9" w:rsidR="006C40AE" w:rsidRPr="00BD2807" w:rsidRDefault="00784125" w:rsidP="00BD280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M</w:t>
      </w:r>
      <w:r w:rsidR="006C40AE" w:rsidRPr="00BD2807">
        <w:rPr>
          <w:rFonts w:ascii="Arial" w:hAnsi="Arial" w:cs="Arial"/>
          <w:szCs w:val="22"/>
        </w:rPr>
        <w:t>aintain safe systems of work including the work premises and environment</w:t>
      </w:r>
      <w:r w:rsidR="00BD2807">
        <w:rPr>
          <w:rFonts w:ascii="Arial" w:hAnsi="Arial" w:cs="Arial"/>
          <w:szCs w:val="22"/>
        </w:rPr>
        <w:t>,</w:t>
      </w:r>
    </w:p>
    <w:p w14:paraId="0186562B" w14:textId="77777777" w:rsidR="006C40AE" w:rsidRPr="00BD2807" w:rsidRDefault="00784125" w:rsidP="00BD2807">
      <w:pPr>
        <w:pStyle w:val="ListParagraph"/>
        <w:numPr>
          <w:ilvl w:val="0"/>
          <w:numId w:val="11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P</w:t>
      </w:r>
      <w:r w:rsidR="006C40AE" w:rsidRPr="00BD2807">
        <w:rPr>
          <w:rFonts w:ascii="Arial" w:hAnsi="Arial" w:cs="Arial"/>
          <w:szCs w:val="22"/>
        </w:rPr>
        <w:t>rovide appropriate support, instruction, training and supervision to employees to ensure safe working practices.</w:t>
      </w:r>
    </w:p>
    <w:p w14:paraId="19A45D1B" w14:textId="77777777" w:rsidR="006C40AE" w:rsidRPr="00BD2807" w:rsidRDefault="006C40AE" w:rsidP="00BD2807">
      <w:pPr>
        <w:pStyle w:val="Plan2"/>
        <w:spacing w:line="360" w:lineRule="auto"/>
        <w:rPr>
          <w:rFonts w:ascii="Arial" w:hAnsi="Arial"/>
          <w:sz w:val="24"/>
          <w:szCs w:val="24"/>
        </w:rPr>
      </w:pPr>
      <w:r w:rsidRPr="00BD2807">
        <w:rPr>
          <w:rFonts w:ascii="Arial" w:hAnsi="Arial"/>
          <w:sz w:val="24"/>
          <w:szCs w:val="24"/>
        </w:rPr>
        <w:t>Relevant Legislation</w:t>
      </w:r>
    </w:p>
    <w:p w14:paraId="5194921A" w14:textId="694C806F" w:rsidR="006C40AE" w:rsidRPr="00BD2807" w:rsidRDefault="006C40AE" w:rsidP="00BD2807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i/>
          <w:szCs w:val="22"/>
        </w:rPr>
        <w:t>Occupational Health and Safety Act 2004</w:t>
      </w:r>
      <w:r w:rsidRPr="00BD2807">
        <w:rPr>
          <w:rFonts w:ascii="Arial" w:hAnsi="Arial" w:cs="Arial"/>
          <w:szCs w:val="22"/>
        </w:rPr>
        <w:t xml:space="preserve"> (Vic)</w:t>
      </w:r>
      <w:r w:rsidR="00BD2807">
        <w:rPr>
          <w:rFonts w:ascii="Arial" w:hAnsi="Arial" w:cs="Arial"/>
          <w:szCs w:val="22"/>
        </w:rPr>
        <w:t>,</w:t>
      </w:r>
    </w:p>
    <w:p w14:paraId="4BB5C4C0" w14:textId="36E80B73" w:rsidR="006C40AE" w:rsidRPr="00BD2807" w:rsidRDefault="006C40AE" w:rsidP="00BD2807">
      <w:pPr>
        <w:pStyle w:val="ListParagraph"/>
        <w:numPr>
          <w:ilvl w:val="0"/>
          <w:numId w:val="10"/>
        </w:numPr>
        <w:spacing w:after="240" w:line="360" w:lineRule="auto"/>
        <w:contextualSpacing w:val="0"/>
        <w:rPr>
          <w:rFonts w:ascii="Arial" w:hAnsi="Arial" w:cs="Arial"/>
          <w:i/>
          <w:szCs w:val="22"/>
        </w:rPr>
      </w:pPr>
      <w:r w:rsidRPr="00BD2807">
        <w:rPr>
          <w:rFonts w:ascii="Arial" w:hAnsi="Arial" w:cs="Arial"/>
          <w:i/>
          <w:szCs w:val="22"/>
        </w:rPr>
        <w:t xml:space="preserve">Dangerous Goods Act 1985 </w:t>
      </w:r>
      <w:r w:rsidRPr="00BD2807">
        <w:rPr>
          <w:rFonts w:ascii="Arial" w:hAnsi="Arial" w:cs="Arial"/>
          <w:szCs w:val="22"/>
        </w:rPr>
        <w:t>(Vic)</w:t>
      </w:r>
      <w:r w:rsidR="00BD2807">
        <w:rPr>
          <w:rFonts w:ascii="Arial" w:hAnsi="Arial" w:cs="Arial"/>
          <w:szCs w:val="22"/>
        </w:rPr>
        <w:t>.</w:t>
      </w:r>
    </w:p>
    <w:p w14:paraId="1749DF0E" w14:textId="77777777" w:rsidR="006C40AE" w:rsidRPr="00BD2807" w:rsidRDefault="006C40AE" w:rsidP="00BD2807">
      <w:pPr>
        <w:spacing w:line="360" w:lineRule="auto"/>
        <w:rPr>
          <w:rFonts w:ascii="Arial" w:hAnsi="Arial" w:cs="Arial"/>
          <w:szCs w:val="22"/>
        </w:rPr>
      </w:pPr>
      <w:proofErr w:type="gramStart"/>
      <w:r w:rsidRPr="00BD2807">
        <w:rPr>
          <w:rFonts w:ascii="Arial" w:hAnsi="Arial" w:cs="Arial"/>
          <w:szCs w:val="22"/>
        </w:rPr>
        <w:t>Both of these</w:t>
      </w:r>
      <w:proofErr w:type="gramEnd"/>
      <w:r w:rsidRPr="00BD2807">
        <w:rPr>
          <w:rFonts w:ascii="Arial" w:hAnsi="Arial" w:cs="Arial"/>
          <w:szCs w:val="22"/>
        </w:rPr>
        <w:t xml:space="preserve"> Acts are administered by WorkSafe Victoria.</w:t>
      </w:r>
    </w:p>
    <w:p w14:paraId="0C96ED8D" w14:textId="77777777" w:rsidR="00BD2807" w:rsidRDefault="00BD2807" w:rsidP="00BD2807">
      <w:pPr>
        <w:spacing w:before="0" w:after="160" w:line="259" w:lineRule="auto"/>
        <w:rPr>
          <w:rFonts w:ascii="Arial" w:hAnsi="Arial" w:cs="Arial"/>
          <w:b/>
          <w:color w:val="000000"/>
          <w:sz w:val="28"/>
          <w:szCs w:val="28"/>
          <w:lang w:val="en-AU" w:eastAsia="en-AU"/>
        </w:rPr>
      </w:pPr>
      <w:r>
        <w:rPr>
          <w:rFonts w:ascii="Arial" w:hAnsi="Arial"/>
        </w:rPr>
        <w:br w:type="page"/>
      </w:r>
    </w:p>
    <w:p w14:paraId="07FEE5BF" w14:textId="7F0C0E8B" w:rsidR="006C40AE" w:rsidRPr="00BD2807" w:rsidRDefault="006C40AE" w:rsidP="00BD2807">
      <w:pPr>
        <w:pStyle w:val="Plan2"/>
        <w:spacing w:line="360" w:lineRule="auto"/>
        <w:rPr>
          <w:rFonts w:ascii="Arial" w:hAnsi="Arial"/>
        </w:rPr>
      </w:pPr>
      <w:r w:rsidRPr="00BD2807">
        <w:rPr>
          <w:rFonts w:ascii="Arial" w:hAnsi="Arial"/>
        </w:rPr>
        <w:lastRenderedPageBreak/>
        <w:t>Responsibility and Authority</w:t>
      </w:r>
    </w:p>
    <w:p w14:paraId="58C072B4" w14:textId="77777777" w:rsidR="006C40AE" w:rsidRPr="00BD2807" w:rsidRDefault="006C40AE" w:rsidP="00BD2807">
      <w:pPr>
        <w:spacing w:line="360" w:lineRule="auto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 xml:space="preserve">The business owners are ultimately responsible for ensuring that safe systems of work are established, implemented and maintained. </w:t>
      </w:r>
    </w:p>
    <w:p w14:paraId="69FD4492" w14:textId="77777777" w:rsidR="006C40AE" w:rsidRPr="00BD2807" w:rsidRDefault="006C40AE" w:rsidP="00BD2807">
      <w:pPr>
        <w:spacing w:line="360" w:lineRule="auto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The business owners are responsible for:</w:t>
      </w:r>
    </w:p>
    <w:p w14:paraId="343C856F" w14:textId="1523E1DD" w:rsidR="006C40AE" w:rsidRPr="00BD2807" w:rsidRDefault="00BE5EB1" w:rsidP="00BD2807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 xml:space="preserve">The effective </w:t>
      </w:r>
      <w:r w:rsidR="006C40AE" w:rsidRPr="00BD2807">
        <w:rPr>
          <w:rFonts w:ascii="Arial" w:hAnsi="Arial" w:cs="Arial"/>
          <w:szCs w:val="22"/>
        </w:rPr>
        <w:t>implementation and regular review of OHS procedures</w:t>
      </w:r>
      <w:r w:rsidR="00BD2807">
        <w:rPr>
          <w:rFonts w:ascii="Arial" w:hAnsi="Arial" w:cs="Arial"/>
          <w:szCs w:val="22"/>
        </w:rPr>
        <w:t>,</w:t>
      </w:r>
    </w:p>
    <w:p w14:paraId="10D7B87C" w14:textId="1C9C9223" w:rsidR="006C40AE" w:rsidRPr="00BD2807" w:rsidRDefault="00BE5EB1" w:rsidP="00BD2807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 xml:space="preserve">Consultation with employees regarding health and safety issues and changes to legislation and/or working practices which may affect the health, </w:t>
      </w:r>
      <w:r w:rsidR="006C40AE" w:rsidRPr="00BD2807">
        <w:rPr>
          <w:rFonts w:ascii="Arial" w:hAnsi="Arial" w:cs="Arial"/>
          <w:szCs w:val="22"/>
        </w:rPr>
        <w:t>safety or welfare of employee</w:t>
      </w:r>
      <w:r w:rsidR="00BD2807">
        <w:rPr>
          <w:rFonts w:ascii="Arial" w:hAnsi="Arial" w:cs="Arial"/>
          <w:szCs w:val="22"/>
        </w:rPr>
        <w:t>,</w:t>
      </w:r>
    </w:p>
    <w:p w14:paraId="3ECD39A0" w14:textId="3D9EFAB1" w:rsidR="006C40AE" w:rsidRPr="00BD2807" w:rsidRDefault="00BE5EB1" w:rsidP="00BD2807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Providing and maintaining a safe system of working practices</w:t>
      </w:r>
      <w:r w:rsidR="00BD2807">
        <w:rPr>
          <w:rFonts w:ascii="Arial" w:hAnsi="Arial" w:cs="Arial"/>
          <w:szCs w:val="22"/>
        </w:rPr>
        <w:t>,</w:t>
      </w:r>
    </w:p>
    <w:p w14:paraId="62287B07" w14:textId="17043810" w:rsidR="006C40AE" w:rsidRPr="00BD2807" w:rsidRDefault="00BE5EB1" w:rsidP="00BD2807">
      <w:pPr>
        <w:pStyle w:val="ListParagraph"/>
        <w:keepNext/>
        <w:numPr>
          <w:ilvl w:val="0"/>
          <w:numId w:val="12"/>
        </w:numPr>
        <w:spacing w:line="360" w:lineRule="auto"/>
        <w:ind w:left="568" w:hanging="284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Providing support, training, and supervision to employees to ensure safe and healthy workplace practices are carried out, including relevant first aid training where</w:t>
      </w:r>
      <w:r w:rsidR="006C40AE" w:rsidRPr="00BD2807">
        <w:rPr>
          <w:rFonts w:ascii="Arial" w:hAnsi="Arial" w:cs="Arial"/>
          <w:szCs w:val="22"/>
        </w:rPr>
        <w:t xml:space="preserve"> appropriate</w:t>
      </w:r>
      <w:r w:rsidR="00BD2807">
        <w:rPr>
          <w:rFonts w:ascii="Arial" w:hAnsi="Arial" w:cs="Arial"/>
          <w:szCs w:val="22"/>
        </w:rPr>
        <w:t>,</w:t>
      </w:r>
    </w:p>
    <w:p w14:paraId="46049575" w14:textId="77777777" w:rsidR="006C40AE" w:rsidRPr="00BD2807" w:rsidRDefault="00BE5EB1" w:rsidP="00BD2807">
      <w:pPr>
        <w:pStyle w:val="ListParagraph"/>
        <w:numPr>
          <w:ilvl w:val="0"/>
          <w:numId w:val="12"/>
        </w:numPr>
        <w:spacing w:after="240"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 xml:space="preserve">The </w:t>
      </w:r>
      <w:r w:rsidR="006C40AE" w:rsidRPr="00BD2807">
        <w:rPr>
          <w:rFonts w:ascii="Arial" w:hAnsi="Arial" w:cs="Arial"/>
          <w:szCs w:val="22"/>
        </w:rPr>
        <w:t xml:space="preserve">provision of adequate resources for employees to meet the OHS commitment, including an </w:t>
      </w:r>
      <w:proofErr w:type="gramStart"/>
      <w:r w:rsidR="006C40AE" w:rsidRPr="00BD2807">
        <w:rPr>
          <w:rFonts w:ascii="Arial" w:hAnsi="Arial" w:cs="Arial"/>
          <w:szCs w:val="22"/>
        </w:rPr>
        <w:t>up-to-date</w:t>
      </w:r>
      <w:proofErr w:type="gramEnd"/>
      <w:r w:rsidR="006C40AE" w:rsidRPr="00BD2807">
        <w:rPr>
          <w:rFonts w:ascii="Arial" w:hAnsi="Arial" w:cs="Arial"/>
          <w:szCs w:val="22"/>
        </w:rPr>
        <w:t xml:space="preserve"> first aid kit.</w:t>
      </w:r>
    </w:p>
    <w:p w14:paraId="38E68225" w14:textId="77777777" w:rsidR="006C40AE" w:rsidRPr="00BD2807" w:rsidRDefault="006C40AE" w:rsidP="00BD2807">
      <w:pPr>
        <w:spacing w:line="360" w:lineRule="auto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Individual employees are responsible for:</w:t>
      </w:r>
    </w:p>
    <w:p w14:paraId="7E1B9AB5" w14:textId="17E77689" w:rsidR="006C40AE" w:rsidRPr="00BD2807" w:rsidRDefault="00BE5EB1" w:rsidP="00BD2807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F</w:t>
      </w:r>
      <w:r w:rsidR="006C40AE" w:rsidRPr="00BD2807">
        <w:rPr>
          <w:rFonts w:ascii="Arial" w:hAnsi="Arial" w:cs="Arial"/>
          <w:szCs w:val="22"/>
        </w:rPr>
        <w:t>ollowing all OHS policies and procedures</w:t>
      </w:r>
      <w:r w:rsidR="00BD2807">
        <w:rPr>
          <w:rFonts w:ascii="Arial" w:hAnsi="Arial" w:cs="Arial"/>
          <w:szCs w:val="22"/>
        </w:rPr>
        <w:t>,</w:t>
      </w:r>
    </w:p>
    <w:p w14:paraId="040B06B9" w14:textId="25BB2C81" w:rsidR="006C40AE" w:rsidRPr="00BD2807" w:rsidRDefault="00BE5EB1" w:rsidP="00BD2807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 xml:space="preserve">Ensuring they report all potential and </w:t>
      </w:r>
      <w:r w:rsidR="006C40AE" w:rsidRPr="00BD2807">
        <w:rPr>
          <w:rFonts w:ascii="Arial" w:hAnsi="Arial" w:cs="Arial"/>
          <w:szCs w:val="22"/>
        </w:rPr>
        <w:t>actual risks to partners or managers/supervisors</w:t>
      </w:r>
      <w:r w:rsidR="00BD2807">
        <w:rPr>
          <w:rFonts w:ascii="Arial" w:hAnsi="Arial" w:cs="Arial"/>
          <w:szCs w:val="22"/>
        </w:rPr>
        <w:t>,</w:t>
      </w:r>
    </w:p>
    <w:p w14:paraId="360D8927" w14:textId="18A71653" w:rsidR="006C40AE" w:rsidRPr="00BD2807" w:rsidRDefault="00BE5EB1" w:rsidP="00BD2807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Taking care to protect their own health and safety and that of their colleagues at work</w:t>
      </w:r>
      <w:r w:rsidR="00BD2807">
        <w:rPr>
          <w:rFonts w:ascii="Arial" w:hAnsi="Arial" w:cs="Arial"/>
          <w:szCs w:val="22"/>
        </w:rPr>
        <w:t>,</w:t>
      </w:r>
    </w:p>
    <w:p w14:paraId="40535B82" w14:textId="5D10303D" w:rsidR="006C40AE" w:rsidRPr="00BD2807" w:rsidRDefault="00BE5EB1" w:rsidP="00BD2807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Ensuring their own or others</w:t>
      </w:r>
      <w:r w:rsidR="006C40AE" w:rsidRPr="00BD2807">
        <w:rPr>
          <w:rFonts w:ascii="Arial" w:hAnsi="Arial" w:cs="Arial"/>
          <w:szCs w:val="22"/>
        </w:rPr>
        <w:t>’ health and safety is not adversely affected by the consumption of drugs or alcohol</w:t>
      </w:r>
      <w:r w:rsidR="00BD2807">
        <w:rPr>
          <w:rFonts w:ascii="Arial" w:hAnsi="Arial" w:cs="Arial"/>
          <w:szCs w:val="22"/>
        </w:rPr>
        <w:t>,</w:t>
      </w:r>
    </w:p>
    <w:p w14:paraId="58EA68DC" w14:textId="77777777" w:rsidR="006C40AE" w:rsidRPr="00BD2807" w:rsidRDefault="00BE5EB1" w:rsidP="00BD2807">
      <w:pPr>
        <w:pStyle w:val="ListParagraph"/>
        <w:numPr>
          <w:ilvl w:val="0"/>
          <w:numId w:val="12"/>
        </w:numPr>
        <w:spacing w:after="240" w:line="360" w:lineRule="auto"/>
        <w:contextualSpacing w:val="0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Encour</w:t>
      </w:r>
      <w:r w:rsidR="006C40AE" w:rsidRPr="00BD2807">
        <w:rPr>
          <w:rFonts w:ascii="Arial" w:hAnsi="Arial" w:cs="Arial"/>
          <w:szCs w:val="22"/>
        </w:rPr>
        <w:t>aging others to follow healthy and safe working practices in the workplace.</w:t>
      </w:r>
    </w:p>
    <w:p w14:paraId="33C5A992" w14:textId="77777777" w:rsidR="006C40AE" w:rsidRPr="00BD2807" w:rsidRDefault="006C40AE" w:rsidP="00BD2807">
      <w:pPr>
        <w:pStyle w:val="Plan2"/>
        <w:spacing w:line="360" w:lineRule="auto"/>
        <w:rPr>
          <w:rFonts w:ascii="Arial" w:hAnsi="Arial"/>
        </w:rPr>
      </w:pPr>
      <w:r w:rsidRPr="00BD2807">
        <w:rPr>
          <w:rFonts w:ascii="Arial" w:hAnsi="Arial"/>
        </w:rPr>
        <w:t>Policy Implementation and Review</w:t>
      </w:r>
    </w:p>
    <w:p w14:paraId="41072439" w14:textId="77777777" w:rsidR="006C40AE" w:rsidRPr="00BD2807" w:rsidRDefault="006C40AE" w:rsidP="00BD2807">
      <w:pPr>
        <w:spacing w:line="360" w:lineRule="auto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 xml:space="preserve">This policy will be reviewed regularly by BCG CEO to ensure compliance with legislation, industry standards and </w:t>
      </w:r>
      <w:proofErr w:type="spellStart"/>
      <w:r w:rsidRPr="00BD2807">
        <w:rPr>
          <w:rFonts w:ascii="Arial" w:hAnsi="Arial" w:cs="Arial"/>
          <w:szCs w:val="22"/>
        </w:rPr>
        <w:t>organisational</w:t>
      </w:r>
      <w:proofErr w:type="spellEnd"/>
      <w:r w:rsidRPr="00BD2807">
        <w:rPr>
          <w:rFonts w:ascii="Arial" w:hAnsi="Arial" w:cs="Arial"/>
          <w:szCs w:val="22"/>
        </w:rPr>
        <w:t xml:space="preserve"> changes.</w:t>
      </w:r>
    </w:p>
    <w:p w14:paraId="4A0584E9" w14:textId="77777777" w:rsidR="00E26C5F" w:rsidRPr="00BD2807" w:rsidRDefault="00E26C5F" w:rsidP="00BD2807">
      <w:pPr>
        <w:pStyle w:val="Plan3"/>
        <w:spacing w:line="360" w:lineRule="auto"/>
        <w:rPr>
          <w:rFonts w:ascii="Arial" w:hAnsi="Arial"/>
          <w:sz w:val="28"/>
        </w:rPr>
      </w:pPr>
      <w:r w:rsidRPr="00BD2807">
        <w:rPr>
          <w:rFonts w:ascii="Arial" w:hAnsi="Arial"/>
          <w:sz w:val="28"/>
        </w:rPr>
        <w:t>Updated/authorised</w:t>
      </w:r>
    </w:p>
    <w:p w14:paraId="50C8AF31" w14:textId="77777777" w:rsidR="002A4DB3" w:rsidRPr="00BD2807" w:rsidRDefault="00E26C5F" w:rsidP="00BD2807">
      <w:pPr>
        <w:spacing w:line="360" w:lineRule="auto"/>
        <w:rPr>
          <w:rFonts w:ascii="Arial" w:hAnsi="Arial" w:cs="Arial"/>
          <w:szCs w:val="22"/>
        </w:rPr>
      </w:pPr>
      <w:r w:rsidRPr="00BD2807">
        <w:rPr>
          <w:rFonts w:ascii="Arial" w:hAnsi="Arial" w:cs="Arial"/>
          <w:szCs w:val="22"/>
        </w:rPr>
        <w:t>201</w:t>
      </w:r>
      <w:r w:rsidR="006C40AE" w:rsidRPr="00BD2807">
        <w:rPr>
          <w:rFonts w:ascii="Arial" w:hAnsi="Arial" w:cs="Arial"/>
          <w:szCs w:val="22"/>
        </w:rPr>
        <w:t>9</w:t>
      </w:r>
      <w:r w:rsidRPr="00BD2807">
        <w:rPr>
          <w:rFonts w:ascii="Arial" w:hAnsi="Arial" w:cs="Arial"/>
          <w:szCs w:val="22"/>
        </w:rPr>
        <w:t xml:space="preserve"> – </w:t>
      </w:r>
      <w:r w:rsidR="00B941FF" w:rsidRPr="00BD2807">
        <w:rPr>
          <w:rFonts w:ascii="Arial" w:hAnsi="Arial" w:cs="Arial"/>
          <w:szCs w:val="22"/>
        </w:rPr>
        <w:t>Jim Murphy CEO</w:t>
      </w:r>
    </w:p>
    <w:sectPr w:rsidR="002A4DB3" w:rsidRPr="00BD2807" w:rsidSect="00BD2807">
      <w:headerReference w:type="default" r:id="rId7"/>
      <w:footerReference w:type="default" r:id="rId8"/>
      <w:pgSz w:w="11906" w:h="16838"/>
      <w:pgMar w:top="1440" w:right="1440" w:bottom="1440" w:left="144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5178" w14:textId="77777777" w:rsidR="0013504B" w:rsidRDefault="0013504B" w:rsidP="00F401A2">
      <w:pPr>
        <w:spacing w:before="0" w:after="0" w:line="240" w:lineRule="auto"/>
      </w:pPr>
      <w:r>
        <w:separator/>
      </w:r>
    </w:p>
  </w:endnote>
  <w:endnote w:type="continuationSeparator" w:id="0">
    <w:p w14:paraId="1515550E" w14:textId="77777777" w:rsidR="0013504B" w:rsidRDefault="0013504B" w:rsidP="00F401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Yu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00281" w14:textId="027DE7E1" w:rsidR="00BD2807" w:rsidRPr="001F3C4D" w:rsidRDefault="00BD2807" w:rsidP="00BD2807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9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59FCDC1D" w14:textId="77777777" w:rsidR="00BD2807" w:rsidRPr="001F3C4D" w:rsidRDefault="00BD2807" w:rsidP="00BD2807">
    <w:pPr>
      <w:pStyle w:val="Footer"/>
      <w:rPr>
        <w:rFonts w:ascii="Arial" w:hAnsi="Arial" w:cs="Arial"/>
        <w:b/>
        <w:bCs/>
        <w:sz w:val="20"/>
        <w:szCs w:val="20"/>
      </w:rPr>
    </w:pPr>
  </w:p>
  <w:p w14:paraId="39A07CAC" w14:textId="50615FA9" w:rsidR="00332223" w:rsidRPr="00BD2807" w:rsidRDefault="00BD2807" w:rsidP="00BD2807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  <w:r w:rsidR="00332223" w:rsidRPr="009C3E41">
      <w:rPr>
        <w:rFonts w:ascii="Avenir LT Std 35 Light" w:hAnsi="Avenir LT Std 35 Light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E18FF" w14:textId="77777777" w:rsidR="0013504B" w:rsidRDefault="0013504B" w:rsidP="00F401A2">
      <w:pPr>
        <w:spacing w:before="0" w:after="0" w:line="240" w:lineRule="auto"/>
      </w:pPr>
      <w:r>
        <w:separator/>
      </w:r>
    </w:p>
  </w:footnote>
  <w:footnote w:type="continuationSeparator" w:id="0">
    <w:p w14:paraId="67EC437C" w14:textId="77777777" w:rsidR="0013504B" w:rsidRDefault="0013504B" w:rsidP="00F401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42DF5" w14:textId="43C6D57D" w:rsidR="00F401A2" w:rsidRPr="00BD2807" w:rsidRDefault="00DE6953" w:rsidP="00BD2807">
    <w:pPr>
      <w:pStyle w:val="Heading2"/>
      <w:spacing w:before="240" w:after="240" w:line="360" w:lineRule="auto"/>
      <w:ind w:left="1"/>
      <w:rPr>
        <w:rFonts w:ascii="Trebuchet MS" w:hAnsi="Trebuchet MS"/>
        <w:b w:val="0"/>
        <w:bCs w:val="0"/>
        <w:sz w:val="40"/>
        <w:szCs w:val="4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030C13" wp14:editId="3FF321EC">
              <wp:simplePos x="0" y="0"/>
              <wp:positionH relativeFrom="column">
                <wp:posOffset>4057649</wp:posOffset>
              </wp:positionH>
              <wp:positionV relativeFrom="paragraph">
                <wp:posOffset>26670</wp:posOffset>
              </wp:positionV>
              <wp:extent cx="1800225" cy="120015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200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A19343" w14:textId="77777777" w:rsidR="00F401A2" w:rsidRDefault="00F401A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9.5pt;margin-top:2.1pt;width:141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" fillcolor="white [3201]" strokecolor="white [3212]" strokeweight=".5pt">
              <v:textbox>
                <w:txbxContent>
                  <w:p w:rsidR="00F401A2" w:rsidRDefault="00F401A2"/>
                </w:txbxContent>
              </v:textbox>
            </v:shape>
          </w:pict>
        </mc:Fallback>
      </mc:AlternateContent>
    </w:r>
    <w:bookmarkStart w:id="4" w:name="_Toc2616773"/>
    <w:r w:rsidR="000A3690" w:rsidRPr="00FB75B1">
      <w:rPr>
        <w:rFonts w:ascii="Trebuchet MS" w:hAnsi="Trebuchet MS"/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693FA9" wp14:editId="79BC29EE">
              <wp:simplePos x="0" y="0"/>
              <wp:positionH relativeFrom="margin">
                <wp:align>right</wp:align>
              </wp:positionH>
              <wp:positionV relativeFrom="paragraph">
                <wp:posOffset>-266700</wp:posOffset>
              </wp:positionV>
              <wp:extent cx="1557020" cy="1552575"/>
              <wp:effectExtent l="0" t="0" r="5080" b="9525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7020" cy="1552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CB95FA" w14:textId="77777777" w:rsidR="000A3690" w:rsidRDefault="000A3690" w:rsidP="000A369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BC83045" wp14:editId="76BDF6F0">
                                <wp:extent cx="1049572" cy="1059805"/>
                                <wp:effectExtent l="0" t="0" r="0" b="7620"/>
                                <wp:docPr id="4" name="Picture 4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7012" t="14108" r="18257" b="1410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2755" cy="10630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93FA9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left:0;text-align:left;margin-left:71.4pt;margin-top:-21pt;width:122.6pt;height:12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" fillcolor="white [3201]" stroked="f" strokeweight=".5pt">
              <v:textbox>
                <w:txbxContent>
                  <w:p w14:paraId="1CCB95FA" w14:textId="77777777" w:rsidR="000A3690" w:rsidRDefault="000A3690" w:rsidP="000A369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BC83045" wp14:editId="76BDF6F0">
                          <wp:extent cx="1049572" cy="1059805"/>
                          <wp:effectExtent l="0" t="0" r="0" b="7620"/>
                          <wp:docPr id="4" name="Picture 4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7012" t="14108" r="18257" b="1410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2755" cy="10630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A3690" w:rsidRPr="00FB75B1">
      <w:rPr>
        <w:rFonts w:ascii="Trebuchet MS" w:hAnsi="Trebuchet MS"/>
      </w:rPr>
      <w:t>John Readings</w:t>
    </w:r>
    <w:bookmarkEnd w:id="4"/>
    <w:r w:rsidR="000A3690">
      <w:rPr>
        <w:rFonts w:ascii="Arial" w:hAnsi="Arial"/>
      </w:rPr>
      <w:t xml:space="preserve">         </w:t>
    </w:r>
    <w:r w:rsidR="000A3690">
      <w:rPr>
        <w:rFonts w:ascii="Arial" w:hAnsi="Arial"/>
        <w:i/>
        <w:sz w:val="32"/>
        <w:szCs w:val="32"/>
      </w:rPr>
      <w:t xml:space="preserve">             </w:t>
    </w:r>
    <w:bookmarkStart w:id="5" w:name="_Toc2616774"/>
    <w:proofErr w:type="spellStart"/>
    <w:r w:rsidR="000A3690" w:rsidRPr="00FB75B1">
      <w:rPr>
        <w:rFonts w:ascii="Trebuchet MS" w:hAnsi="Trebuchet MS"/>
        <w:i/>
        <w:sz w:val="40"/>
        <w:szCs w:val="40"/>
      </w:rPr>
      <w:t>BookCafé</w:t>
    </w:r>
    <w:bookmarkEnd w:id="5"/>
    <w:proofErr w:type="spellEnd"/>
  </w:p>
  <w:p w14:paraId="1983E3DA" w14:textId="77777777" w:rsidR="00F401A2" w:rsidRDefault="00F401A2" w:rsidP="000A3690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39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" w15:restartNumberingAfterBreak="0">
    <w:nsid w:val="114B26AA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2" w15:restartNumberingAfterBreak="0">
    <w:nsid w:val="180A6499"/>
    <w:multiLevelType w:val="multilevel"/>
    <w:tmpl w:val="379E2760"/>
    <w:lvl w:ilvl="0">
      <w:start w:val="1"/>
      <w:numFmt w:val="bullet"/>
      <w:pStyle w:val="B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3" w15:restartNumberingAfterBreak="0">
    <w:nsid w:val="1FD4411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4" w15:restartNumberingAfterBreak="0">
    <w:nsid w:val="2840699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5" w15:restartNumberingAfterBreak="0">
    <w:nsid w:val="2B07626E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6" w15:restartNumberingAfterBreak="0">
    <w:nsid w:val="33B140B4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7" w15:restartNumberingAfterBreak="0">
    <w:nsid w:val="3C45705F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8" w15:restartNumberingAfterBreak="0">
    <w:nsid w:val="410D4CA2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9" w15:restartNumberingAfterBreak="0">
    <w:nsid w:val="62B621EB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0" w15:restartNumberingAfterBreak="0">
    <w:nsid w:val="69E30A43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abstractNum w:abstractNumId="11" w15:restartNumberingAfterBreak="0">
    <w:nsid w:val="72D64093"/>
    <w:multiLevelType w:val="multilevel"/>
    <w:tmpl w:val="8370D564"/>
    <w:lvl w:ilvl="0">
      <w:start w:val="1"/>
      <w:numFmt w:val="bullet"/>
      <w:pStyle w:val="AHSbullet1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Nb0oLp+Ex8LMEAiw6nT8zLaiq8CZFgWvLSkyP/+bYn+gXDbO3LFc4qr8ET2/T0jLYnva60MGzGH4NFMk3rMWsQ==" w:salt="1Ay7d2HqMljijsK+f5JB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1A2"/>
    <w:rsid w:val="000042E2"/>
    <w:rsid w:val="00071EA0"/>
    <w:rsid w:val="000809D7"/>
    <w:rsid w:val="00090052"/>
    <w:rsid w:val="000A3690"/>
    <w:rsid w:val="000C603D"/>
    <w:rsid w:val="000F1F4C"/>
    <w:rsid w:val="00103488"/>
    <w:rsid w:val="001146BA"/>
    <w:rsid w:val="001320F3"/>
    <w:rsid w:val="0013504B"/>
    <w:rsid w:val="00194664"/>
    <w:rsid w:val="00195F62"/>
    <w:rsid w:val="001C2CC0"/>
    <w:rsid w:val="001E5B7A"/>
    <w:rsid w:val="0020334D"/>
    <w:rsid w:val="002110CF"/>
    <w:rsid w:val="002949FB"/>
    <w:rsid w:val="002A4DB3"/>
    <w:rsid w:val="003222D8"/>
    <w:rsid w:val="00325D52"/>
    <w:rsid w:val="00332223"/>
    <w:rsid w:val="00344735"/>
    <w:rsid w:val="00355874"/>
    <w:rsid w:val="0037010A"/>
    <w:rsid w:val="00371D37"/>
    <w:rsid w:val="00377A7D"/>
    <w:rsid w:val="003E625F"/>
    <w:rsid w:val="003F6302"/>
    <w:rsid w:val="004623B8"/>
    <w:rsid w:val="00486269"/>
    <w:rsid w:val="005343BE"/>
    <w:rsid w:val="005B0EA0"/>
    <w:rsid w:val="005B3A7A"/>
    <w:rsid w:val="0062618E"/>
    <w:rsid w:val="006A4016"/>
    <w:rsid w:val="006B3690"/>
    <w:rsid w:val="006C3761"/>
    <w:rsid w:val="006C40AE"/>
    <w:rsid w:val="006D25B9"/>
    <w:rsid w:val="007224FB"/>
    <w:rsid w:val="007507D7"/>
    <w:rsid w:val="00784125"/>
    <w:rsid w:val="007C0014"/>
    <w:rsid w:val="007E2EAF"/>
    <w:rsid w:val="007E3B43"/>
    <w:rsid w:val="00807476"/>
    <w:rsid w:val="00811099"/>
    <w:rsid w:val="00821639"/>
    <w:rsid w:val="00823C9A"/>
    <w:rsid w:val="008714D0"/>
    <w:rsid w:val="0088602C"/>
    <w:rsid w:val="008D29CB"/>
    <w:rsid w:val="008E31A1"/>
    <w:rsid w:val="008E7508"/>
    <w:rsid w:val="009566DA"/>
    <w:rsid w:val="00982F6C"/>
    <w:rsid w:val="009C3E41"/>
    <w:rsid w:val="00A65EF4"/>
    <w:rsid w:val="00AA36AB"/>
    <w:rsid w:val="00AB6080"/>
    <w:rsid w:val="00AC7A36"/>
    <w:rsid w:val="00B30F6F"/>
    <w:rsid w:val="00B52636"/>
    <w:rsid w:val="00B8030E"/>
    <w:rsid w:val="00B941FF"/>
    <w:rsid w:val="00BD2807"/>
    <w:rsid w:val="00BE5EB1"/>
    <w:rsid w:val="00C5308B"/>
    <w:rsid w:val="00C56A7D"/>
    <w:rsid w:val="00C62E83"/>
    <w:rsid w:val="00C7008A"/>
    <w:rsid w:val="00C934FF"/>
    <w:rsid w:val="00D30B37"/>
    <w:rsid w:val="00D34A11"/>
    <w:rsid w:val="00D821C9"/>
    <w:rsid w:val="00DD0000"/>
    <w:rsid w:val="00DD25BC"/>
    <w:rsid w:val="00DD70FA"/>
    <w:rsid w:val="00DE6953"/>
    <w:rsid w:val="00E06BF6"/>
    <w:rsid w:val="00E123A8"/>
    <w:rsid w:val="00E128A5"/>
    <w:rsid w:val="00E15929"/>
    <w:rsid w:val="00E26C5F"/>
    <w:rsid w:val="00E76307"/>
    <w:rsid w:val="00F401A2"/>
    <w:rsid w:val="00F406FC"/>
    <w:rsid w:val="00F54A2A"/>
    <w:rsid w:val="00F60876"/>
    <w:rsid w:val="00F91C75"/>
    <w:rsid w:val="00F938DD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4C9DC"/>
  <w15:chartTrackingRefBased/>
  <w15:docId w15:val="{580154C3-626F-4E0A-8E32-1227F0C4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53"/>
    <w:pPr>
      <w:spacing w:before="120" w:after="120" w:line="276" w:lineRule="auto"/>
    </w:pPr>
    <w:rPr>
      <w:rFonts w:ascii="Franklin Gothic Book" w:eastAsia="Times New Roman" w:hAnsi="Franklin Gothic Book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6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DE6953"/>
    <w:pPr>
      <w:keepLines w:val="0"/>
      <w:pBdr>
        <w:bottom w:val="single" w:sz="4" w:space="1" w:color="000000"/>
      </w:pBdr>
      <w:spacing w:before="360" w:after="360" w:line="240" w:lineRule="auto"/>
      <w:outlineLvl w:val="1"/>
    </w:pPr>
    <w:rPr>
      <w:rFonts w:ascii="Franklin Gothic Book" w:eastAsia="Times New Roman" w:hAnsi="Franklin Gothic Book" w:cs="Arial"/>
      <w:b/>
      <w:bCs/>
      <w:color w:val="auto"/>
      <w:kern w:val="32"/>
      <w:sz w:val="36"/>
      <w:szCs w:val="28"/>
      <w:lang w:val="en-AU"/>
    </w:rPr>
  </w:style>
  <w:style w:type="paragraph" w:styleId="Heading3">
    <w:name w:val="heading 3"/>
    <w:aliases w:val="Char"/>
    <w:basedOn w:val="Normal"/>
    <w:next w:val="Normal"/>
    <w:link w:val="Heading3Char1"/>
    <w:qFormat/>
    <w:rsid w:val="00DE6953"/>
    <w:pPr>
      <w:keepNext/>
      <w:spacing w:before="360" w:line="240" w:lineRule="auto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1A2"/>
  </w:style>
  <w:style w:type="paragraph" w:styleId="Footer">
    <w:name w:val="footer"/>
    <w:basedOn w:val="Normal"/>
    <w:link w:val="FooterChar"/>
    <w:uiPriority w:val="99"/>
    <w:unhideWhenUsed/>
    <w:rsid w:val="00F40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1A2"/>
  </w:style>
  <w:style w:type="paragraph" w:customStyle="1" w:styleId="Default">
    <w:name w:val="Default"/>
    <w:rsid w:val="00F401A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1A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AU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DE6953"/>
    <w:rPr>
      <w:rFonts w:ascii="Franklin Gothic Book" w:eastAsia="Times New Roman" w:hAnsi="Franklin Gothic Book" w:cs="Arial"/>
      <w:b/>
      <w:bCs/>
      <w:kern w:val="32"/>
      <w:sz w:val="36"/>
      <w:szCs w:val="28"/>
    </w:rPr>
  </w:style>
  <w:style w:type="character" w:customStyle="1" w:styleId="Heading3Char">
    <w:name w:val="Heading 3 Char"/>
    <w:basedOn w:val="DefaultParagraphFont"/>
    <w:uiPriority w:val="9"/>
    <w:semiHidden/>
    <w:rsid w:val="00DE695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3Char1">
    <w:name w:val="Heading 3 Char1"/>
    <w:aliases w:val="Char Char"/>
    <w:basedOn w:val="DefaultParagraphFont"/>
    <w:link w:val="Heading3"/>
    <w:rsid w:val="00DE6953"/>
    <w:rPr>
      <w:rFonts w:ascii="Franklin Gothic Book" w:eastAsia="Times New Roman" w:hAnsi="Franklin Gothic Book" w:cs="Arial"/>
      <w:b/>
      <w:bCs/>
      <w:sz w:val="28"/>
      <w:szCs w:val="26"/>
      <w:lang w:val="en-US"/>
    </w:rPr>
  </w:style>
  <w:style w:type="paragraph" w:customStyle="1" w:styleId="B1">
    <w:name w:val="B1"/>
    <w:basedOn w:val="ListParagraph"/>
    <w:qFormat/>
    <w:rsid w:val="00DE6953"/>
    <w:pPr>
      <w:numPr>
        <w:numId w:val="1"/>
      </w:numPr>
      <w:tabs>
        <w:tab w:val="clear" w:pos="567"/>
        <w:tab w:val="num" w:pos="360"/>
      </w:tabs>
      <w:ind w:left="568" w:hanging="284"/>
      <w:contextualSpacing w:val="0"/>
    </w:pPr>
  </w:style>
  <w:style w:type="character" w:customStyle="1" w:styleId="Heading1Char">
    <w:name w:val="Heading 1 Char"/>
    <w:basedOn w:val="DefaultParagraphFont"/>
    <w:link w:val="Heading1"/>
    <w:uiPriority w:val="9"/>
    <w:rsid w:val="00DE6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aliases w:val="Bullets,Table numbering,List Paragraph1,Single bullet style"/>
    <w:basedOn w:val="Normal"/>
    <w:link w:val="ListParagraphChar"/>
    <w:uiPriority w:val="34"/>
    <w:qFormat/>
    <w:rsid w:val="00DE6953"/>
    <w:pPr>
      <w:ind w:left="720"/>
      <w:contextualSpacing/>
    </w:pPr>
  </w:style>
  <w:style w:type="table" w:styleId="TableGrid">
    <w:name w:val="Table Grid"/>
    <w:basedOn w:val="TableNormal"/>
    <w:rsid w:val="009C3E4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9C3E41"/>
    <w:pPr>
      <w:keepNext/>
      <w:spacing w:line="240" w:lineRule="auto"/>
    </w:pPr>
    <w:rPr>
      <w:b/>
    </w:rPr>
  </w:style>
  <w:style w:type="paragraph" w:customStyle="1" w:styleId="Plan3">
    <w:name w:val="Plan 3"/>
    <w:qFormat/>
    <w:rsid w:val="00E76307"/>
    <w:pPr>
      <w:keepNext/>
      <w:spacing w:before="240" w:after="120" w:line="276" w:lineRule="auto"/>
    </w:pPr>
    <w:rPr>
      <w:rFonts w:ascii="Verdana" w:eastAsia="Times New Roman" w:hAnsi="Verdana" w:cs="Arial"/>
      <w:b/>
      <w:bCs/>
      <w:color w:val="000000"/>
      <w:szCs w:val="28"/>
      <w:lang w:eastAsia="en-AU"/>
    </w:rPr>
  </w:style>
  <w:style w:type="character" w:customStyle="1" w:styleId="ListParagraphChar">
    <w:name w:val="List Paragraph Char"/>
    <w:aliases w:val="Bullets Char,Table numbering Char,List Paragraph1 Char,Single bullet style Char"/>
    <w:basedOn w:val="DefaultParagraphFont"/>
    <w:link w:val="ListParagraph"/>
    <w:uiPriority w:val="34"/>
    <w:rsid w:val="00E76307"/>
    <w:rPr>
      <w:rFonts w:ascii="Franklin Gothic Book" w:eastAsia="Times New Roman" w:hAnsi="Franklin Gothic Book" w:cs="Times New Roman"/>
      <w:szCs w:val="24"/>
      <w:lang w:val="en-US"/>
    </w:rPr>
  </w:style>
  <w:style w:type="paragraph" w:customStyle="1" w:styleId="AHSbullet1">
    <w:name w:val="AHS bullet 1"/>
    <w:basedOn w:val="ListParagraph"/>
    <w:qFormat/>
    <w:rsid w:val="0088602C"/>
    <w:pPr>
      <w:numPr>
        <w:numId w:val="3"/>
      </w:numPr>
      <w:contextualSpacing w:val="0"/>
    </w:pPr>
    <w:rPr>
      <w:rFonts w:ascii="Verdana" w:hAnsi="Verdana"/>
      <w:szCs w:val="22"/>
      <w:lang w:val="en-AU" w:eastAsia="en-AU"/>
    </w:rPr>
  </w:style>
  <w:style w:type="paragraph" w:customStyle="1" w:styleId="AHSHead3">
    <w:name w:val="AHS Head 3"/>
    <w:basedOn w:val="Normal"/>
    <w:qFormat/>
    <w:rsid w:val="0088602C"/>
    <w:pPr>
      <w:keepNext/>
      <w:tabs>
        <w:tab w:val="left" w:pos="4768"/>
      </w:tabs>
      <w:spacing w:before="360"/>
    </w:pPr>
    <w:rPr>
      <w:rFonts w:ascii="Verdana" w:hAnsi="Verdana" w:cs="Arial"/>
      <w:b/>
      <w:color w:val="000000"/>
      <w:sz w:val="28"/>
      <w:szCs w:val="28"/>
      <w:lang w:val="en-AU" w:eastAsia="en-AU"/>
    </w:rPr>
  </w:style>
  <w:style w:type="paragraph" w:customStyle="1" w:styleId="AHHead4">
    <w:name w:val="AH Head 4"/>
    <w:basedOn w:val="Normal"/>
    <w:qFormat/>
    <w:rsid w:val="0088602C"/>
    <w:pPr>
      <w:spacing w:before="240"/>
    </w:pPr>
    <w:rPr>
      <w:rFonts w:ascii="Verdana" w:hAnsi="Verdana" w:cs="TimesNewRomanPSMT"/>
      <w:b/>
      <w:bCs/>
      <w:sz w:val="24"/>
      <w:lang w:val="en-AU" w:eastAsia="en-AU"/>
    </w:rPr>
  </w:style>
  <w:style w:type="character" w:styleId="Hyperlink">
    <w:name w:val="Hyperlink"/>
    <w:basedOn w:val="DefaultParagraphFont"/>
    <w:uiPriority w:val="99"/>
    <w:rsid w:val="0088602C"/>
    <w:rPr>
      <w:i/>
      <w:color w:val="auto"/>
      <w:u w:val="none"/>
    </w:rPr>
  </w:style>
  <w:style w:type="paragraph" w:styleId="BodyText">
    <w:name w:val="Body Text"/>
    <w:basedOn w:val="Normal"/>
    <w:link w:val="BodyTextChar"/>
    <w:rsid w:val="00194664"/>
    <w:rPr>
      <w:rFonts w:ascii="Verdana" w:hAnsi="Verdana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194664"/>
    <w:rPr>
      <w:rFonts w:ascii="Verdana" w:eastAsia="Times New Roman" w:hAnsi="Verdana" w:cs="Times New Roman"/>
      <w:szCs w:val="24"/>
      <w:lang w:eastAsia="en-AU"/>
    </w:rPr>
  </w:style>
  <w:style w:type="paragraph" w:customStyle="1" w:styleId="AHSHead2">
    <w:name w:val="AHS Head 2"/>
    <w:basedOn w:val="Normal"/>
    <w:qFormat/>
    <w:rsid w:val="00194664"/>
    <w:pPr>
      <w:pBdr>
        <w:bottom w:val="single" w:sz="4" w:space="1" w:color="auto"/>
      </w:pBdr>
      <w:spacing w:before="360" w:after="360"/>
    </w:pPr>
    <w:rPr>
      <w:rFonts w:ascii="Verdana" w:hAnsi="Verdana"/>
      <w:b/>
      <w:sz w:val="32"/>
      <w:szCs w:val="32"/>
      <w:lang w:val="en-AU" w:eastAsia="en-AU"/>
    </w:rPr>
  </w:style>
  <w:style w:type="paragraph" w:customStyle="1" w:styleId="Plan2">
    <w:name w:val="Plan 2"/>
    <w:basedOn w:val="Normal"/>
    <w:qFormat/>
    <w:rsid w:val="00E26C5F"/>
    <w:pPr>
      <w:keepNext/>
      <w:tabs>
        <w:tab w:val="left" w:pos="4768"/>
      </w:tabs>
      <w:spacing w:before="240"/>
    </w:pPr>
    <w:rPr>
      <w:rFonts w:ascii="Verdana" w:hAnsi="Verdana" w:cs="Arial"/>
      <w:b/>
      <w:color w:val="000000"/>
      <w:sz w:val="28"/>
      <w:szCs w:val="2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2137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Mission, Vision and Strategic Plan</vt:lpstr>
    </vt:vector>
  </TitlesOfParts>
  <Company>College for Adult Learning</Company>
  <LinksUpToDate>false</LinksUpToDate>
  <CharactersWithSpaces>2506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Mission, Vision and Strategic Plan</dc:title>
  <dc:subject>John Readings</dc:subject>
  <dc:creator>Helen Sabell</dc:creator>
  <cp:keywords/>
  <dc:description/>
  <cp:lastModifiedBy>Sarah Sabell</cp:lastModifiedBy>
  <cp:revision>4</cp:revision>
  <dcterms:created xsi:type="dcterms:W3CDTF">2019-04-01T05:28:00Z</dcterms:created>
  <dcterms:modified xsi:type="dcterms:W3CDTF">2019-07-09T07:52:00Z</dcterms:modified>
  <cp:category>Case Study</cp:category>
</cp:coreProperties>
</file>