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0911" w14:textId="77777777" w:rsidR="008804E4" w:rsidRPr="00041D1C" w:rsidRDefault="008804E4" w:rsidP="00724D6C">
      <w:pPr>
        <w:pStyle w:val="AHSHead2"/>
        <w:pBdr>
          <w:bottom w:val="none" w:sz="0" w:space="0" w:color="auto"/>
        </w:pBdr>
        <w:rPr>
          <w:rFonts w:ascii="Arial" w:hAnsi="Arial" w:cs="Arial"/>
          <w:sz w:val="34"/>
          <w:szCs w:val="34"/>
          <w:u w:val="single"/>
        </w:rPr>
      </w:pPr>
      <w:bookmarkStart w:id="0" w:name="_Toc388433986"/>
      <w:r w:rsidRPr="00041D1C">
        <w:rPr>
          <w:rFonts w:ascii="Arial" w:hAnsi="Arial" w:cs="Arial"/>
        </w:rPr>
        <w:t>Equal Employment Opportunity (EEO) Policy</w:t>
      </w:r>
      <w:bookmarkEnd w:id="0"/>
    </w:p>
    <w:tbl>
      <w:tblPr>
        <w:tblW w:w="9072" w:type="dxa"/>
        <w:jc w:val="center"/>
        <w:tblLook w:val="04A0" w:firstRow="1" w:lastRow="0" w:firstColumn="1" w:lastColumn="0" w:noHBand="0" w:noVBand="1"/>
      </w:tblPr>
      <w:tblGrid>
        <w:gridCol w:w="2232"/>
        <w:gridCol w:w="6840"/>
      </w:tblGrid>
      <w:tr w:rsidR="008804E4" w:rsidRPr="00041D1C" w14:paraId="7E1B3B6C" w14:textId="77777777" w:rsidTr="00724D6C">
        <w:trPr>
          <w:jc w:val="center"/>
        </w:trPr>
        <w:tc>
          <w:tcPr>
            <w:tcW w:w="1230" w:type="pct"/>
          </w:tcPr>
          <w:p w14:paraId="3044C23E" w14:textId="77777777" w:rsidR="008804E4" w:rsidRPr="00041D1C" w:rsidRDefault="008804E4" w:rsidP="00724D6C">
            <w:pPr>
              <w:pStyle w:val="AHHead4"/>
              <w:spacing w:before="120"/>
              <w:jc w:val="both"/>
              <w:rPr>
                <w:rFonts w:ascii="Arial" w:hAnsi="Arial" w:cs="Arial"/>
                <w:sz w:val="28"/>
                <w:szCs w:val="28"/>
              </w:rPr>
            </w:pPr>
            <w:r w:rsidRPr="00041D1C">
              <w:rPr>
                <w:rFonts w:ascii="Arial" w:hAnsi="Arial" w:cs="Arial"/>
                <w:sz w:val="28"/>
                <w:szCs w:val="28"/>
              </w:rPr>
              <w:t>Purpose</w:t>
            </w:r>
          </w:p>
        </w:tc>
        <w:tc>
          <w:tcPr>
            <w:tcW w:w="3770" w:type="pct"/>
          </w:tcPr>
          <w:p w14:paraId="58DCA21C" w14:textId="70DA0D91" w:rsidR="008804E4" w:rsidRPr="00041D1C" w:rsidRDefault="008804E4" w:rsidP="00510823">
            <w:pPr>
              <w:spacing w:line="360" w:lineRule="auto"/>
              <w:jc w:val="both"/>
              <w:rPr>
                <w:rFonts w:ascii="Arial" w:hAnsi="Arial" w:cs="Arial"/>
                <w:szCs w:val="22"/>
              </w:rPr>
            </w:pPr>
            <w:r w:rsidRPr="00041D1C">
              <w:rPr>
                <w:rFonts w:ascii="Arial" w:hAnsi="Arial" w:cs="Arial"/>
                <w:szCs w:val="22"/>
              </w:rPr>
              <w:t xml:space="preserve">The purpose of this policy is to outline </w:t>
            </w:r>
            <w:r w:rsidR="00724D6C" w:rsidRPr="00041D1C">
              <w:rPr>
                <w:rFonts w:ascii="Arial" w:hAnsi="Arial" w:cs="Arial"/>
                <w:szCs w:val="22"/>
              </w:rPr>
              <w:t>BCG</w:t>
            </w:r>
            <w:r w:rsidRPr="00041D1C">
              <w:rPr>
                <w:rFonts w:ascii="Arial" w:hAnsi="Arial" w:cs="Arial"/>
                <w:szCs w:val="22"/>
              </w:rPr>
              <w:t>’s approach to employment in regards to giving fair opportunity to all people to apply and be selected for job r</w:t>
            </w:r>
            <w:bookmarkStart w:id="1" w:name="_GoBack"/>
            <w:bookmarkEnd w:id="1"/>
            <w:r w:rsidRPr="00041D1C">
              <w:rPr>
                <w:rFonts w:ascii="Arial" w:hAnsi="Arial" w:cs="Arial"/>
                <w:szCs w:val="22"/>
              </w:rPr>
              <w:t xml:space="preserve">oles at </w:t>
            </w:r>
            <w:r w:rsidR="00724D6C" w:rsidRPr="00041D1C">
              <w:rPr>
                <w:rFonts w:ascii="Arial" w:hAnsi="Arial" w:cs="Arial"/>
                <w:szCs w:val="22"/>
              </w:rPr>
              <w:t>BCG</w:t>
            </w:r>
            <w:r w:rsidRPr="00041D1C">
              <w:rPr>
                <w:rFonts w:ascii="Arial" w:hAnsi="Arial" w:cs="Arial"/>
                <w:szCs w:val="22"/>
              </w:rPr>
              <w:t xml:space="preserve">. </w:t>
            </w:r>
          </w:p>
          <w:p w14:paraId="2343E0FE" w14:textId="77777777" w:rsidR="008804E4" w:rsidRPr="00041D1C" w:rsidRDefault="00724D6C" w:rsidP="00510823">
            <w:pPr>
              <w:spacing w:line="360" w:lineRule="auto"/>
              <w:jc w:val="both"/>
              <w:rPr>
                <w:rFonts w:ascii="Arial" w:hAnsi="Arial" w:cs="Arial"/>
                <w:szCs w:val="22"/>
              </w:rPr>
            </w:pPr>
            <w:r w:rsidRPr="00041D1C">
              <w:rPr>
                <w:rFonts w:ascii="Arial" w:hAnsi="Arial" w:cs="Arial"/>
                <w:szCs w:val="22"/>
              </w:rPr>
              <w:t xml:space="preserve">BCG </w:t>
            </w:r>
            <w:r w:rsidR="008804E4" w:rsidRPr="00041D1C">
              <w:rPr>
                <w:rFonts w:ascii="Arial" w:hAnsi="Arial" w:cs="Arial"/>
                <w:szCs w:val="22"/>
              </w:rPr>
              <w:t>is committed to providing a workplace free from all forms of discrimination.</w:t>
            </w:r>
          </w:p>
        </w:tc>
      </w:tr>
      <w:tr w:rsidR="008804E4" w:rsidRPr="00041D1C" w14:paraId="6A598E5B" w14:textId="77777777" w:rsidTr="00724D6C">
        <w:trPr>
          <w:jc w:val="center"/>
        </w:trPr>
        <w:tc>
          <w:tcPr>
            <w:tcW w:w="1230" w:type="pct"/>
          </w:tcPr>
          <w:p w14:paraId="75C3A58D" w14:textId="77777777" w:rsidR="008804E4" w:rsidRPr="00041D1C" w:rsidRDefault="008804E4" w:rsidP="00724D6C">
            <w:pPr>
              <w:pStyle w:val="AHHead4"/>
              <w:spacing w:before="120"/>
              <w:jc w:val="both"/>
              <w:rPr>
                <w:rFonts w:ascii="Arial" w:hAnsi="Arial" w:cs="Arial"/>
                <w:sz w:val="28"/>
                <w:szCs w:val="28"/>
              </w:rPr>
            </w:pPr>
            <w:r w:rsidRPr="00041D1C">
              <w:rPr>
                <w:rFonts w:ascii="Arial" w:hAnsi="Arial" w:cs="Arial"/>
                <w:sz w:val="28"/>
                <w:szCs w:val="28"/>
              </w:rPr>
              <w:t>Relevant legislation</w:t>
            </w:r>
          </w:p>
        </w:tc>
        <w:tc>
          <w:tcPr>
            <w:tcW w:w="3770" w:type="pct"/>
          </w:tcPr>
          <w:p w14:paraId="6DB31439" w14:textId="77777777" w:rsidR="008804E4" w:rsidRPr="00041D1C" w:rsidRDefault="008804E4" w:rsidP="00510823">
            <w:pPr>
              <w:pStyle w:val="AHSbullet1"/>
              <w:numPr>
                <w:ilvl w:val="0"/>
                <w:numId w:val="13"/>
              </w:numPr>
              <w:spacing w:line="360" w:lineRule="auto"/>
              <w:jc w:val="both"/>
              <w:rPr>
                <w:rFonts w:ascii="Arial" w:hAnsi="Arial" w:cs="Arial"/>
                <w:i/>
              </w:rPr>
            </w:pPr>
            <w:r w:rsidRPr="00041D1C">
              <w:rPr>
                <w:rFonts w:ascii="Arial" w:hAnsi="Arial" w:cs="Arial"/>
                <w:i/>
              </w:rPr>
              <w:t xml:space="preserve">Workplace Gender Equality Act 2012 </w:t>
            </w:r>
            <w:r w:rsidRPr="00041D1C">
              <w:rPr>
                <w:rFonts w:ascii="Arial" w:hAnsi="Arial" w:cs="Arial"/>
              </w:rPr>
              <w:t>(Cwlth)</w:t>
            </w:r>
          </w:p>
          <w:p w14:paraId="0A1BAE3F" w14:textId="77777777" w:rsidR="008804E4" w:rsidRPr="00041D1C" w:rsidRDefault="008804E4" w:rsidP="00510823">
            <w:pPr>
              <w:pStyle w:val="AHSbullet1"/>
              <w:numPr>
                <w:ilvl w:val="0"/>
                <w:numId w:val="13"/>
              </w:numPr>
              <w:spacing w:line="360" w:lineRule="auto"/>
              <w:jc w:val="both"/>
              <w:rPr>
                <w:rFonts w:ascii="Arial" w:hAnsi="Arial" w:cs="Arial"/>
              </w:rPr>
            </w:pPr>
            <w:r w:rsidRPr="00041D1C">
              <w:rPr>
                <w:rFonts w:ascii="Arial" w:hAnsi="Arial" w:cs="Arial"/>
                <w:i/>
              </w:rPr>
              <w:t xml:space="preserve">Disability Discrimination Act 1992 </w:t>
            </w:r>
            <w:r w:rsidRPr="00041D1C">
              <w:rPr>
                <w:rFonts w:ascii="Arial" w:hAnsi="Arial" w:cs="Arial"/>
              </w:rPr>
              <w:t>(Cwlth)</w:t>
            </w:r>
          </w:p>
          <w:p w14:paraId="62F84AC7" w14:textId="77777777" w:rsidR="008804E4" w:rsidRPr="00041D1C" w:rsidRDefault="008804E4" w:rsidP="00510823">
            <w:pPr>
              <w:pStyle w:val="AHSbullet1"/>
              <w:numPr>
                <w:ilvl w:val="0"/>
                <w:numId w:val="13"/>
              </w:numPr>
              <w:spacing w:line="360" w:lineRule="auto"/>
              <w:jc w:val="both"/>
              <w:rPr>
                <w:rFonts w:ascii="Arial" w:hAnsi="Arial" w:cs="Arial"/>
              </w:rPr>
            </w:pPr>
            <w:r w:rsidRPr="00041D1C">
              <w:rPr>
                <w:rFonts w:ascii="Arial" w:hAnsi="Arial" w:cs="Arial"/>
                <w:i/>
              </w:rPr>
              <w:t xml:space="preserve">Equal Opportunity Act 2010 </w:t>
            </w:r>
            <w:r w:rsidRPr="00041D1C">
              <w:rPr>
                <w:rFonts w:ascii="Arial" w:hAnsi="Arial" w:cs="Arial"/>
              </w:rPr>
              <w:t>(Vic)</w:t>
            </w:r>
          </w:p>
        </w:tc>
      </w:tr>
    </w:tbl>
    <w:p w14:paraId="08B71FA4" w14:textId="77777777" w:rsidR="008804E4" w:rsidRPr="00041D1C" w:rsidRDefault="008804E4" w:rsidP="00510823">
      <w:pPr>
        <w:pStyle w:val="Plan2"/>
        <w:spacing w:line="360" w:lineRule="auto"/>
        <w:jc w:val="both"/>
        <w:rPr>
          <w:rFonts w:ascii="Arial" w:hAnsi="Arial"/>
        </w:rPr>
      </w:pPr>
      <w:r w:rsidRPr="00041D1C">
        <w:rPr>
          <w:rFonts w:ascii="Arial" w:hAnsi="Arial"/>
        </w:rPr>
        <w:t xml:space="preserve">Guiding </w:t>
      </w:r>
      <w:r w:rsidR="00510823" w:rsidRPr="00041D1C">
        <w:rPr>
          <w:rFonts w:ascii="Arial" w:hAnsi="Arial"/>
        </w:rPr>
        <w:t>Principles</w:t>
      </w:r>
    </w:p>
    <w:p w14:paraId="74457D3D" w14:textId="77777777" w:rsidR="008804E4" w:rsidRPr="00041D1C" w:rsidRDefault="00510823" w:rsidP="00510823">
      <w:pPr>
        <w:spacing w:line="360" w:lineRule="auto"/>
        <w:jc w:val="both"/>
        <w:rPr>
          <w:rFonts w:ascii="Arial" w:hAnsi="Arial" w:cs="Arial"/>
          <w:szCs w:val="22"/>
        </w:rPr>
      </w:pPr>
      <w:r w:rsidRPr="00041D1C">
        <w:rPr>
          <w:rFonts w:ascii="Arial" w:hAnsi="Arial" w:cs="Arial"/>
          <w:szCs w:val="22"/>
        </w:rPr>
        <w:t>BCG</w:t>
      </w:r>
      <w:r w:rsidR="008804E4" w:rsidRPr="00041D1C">
        <w:rPr>
          <w:rFonts w:ascii="Arial" w:hAnsi="Arial" w:cs="Arial"/>
          <w:szCs w:val="22"/>
        </w:rPr>
        <w:t xml:space="preserve"> is guided by the principle of equal opportunity in all of its activities. </w:t>
      </w:r>
      <w:r w:rsidRPr="00041D1C">
        <w:rPr>
          <w:rFonts w:ascii="Arial" w:hAnsi="Arial" w:cs="Arial"/>
          <w:szCs w:val="22"/>
        </w:rPr>
        <w:t>BCG</w:t>
      </w:r>
      <w:r w:rsidR="008804E4" w:rsidRPr="00041D1C">
        <w:rPr>
          <w:rFonts w:ascii="Arial" w:hAnsi="Arial" w:cs="Arial"/>
          <w:szCs w:val="22"/>
        </w:rPr>
        <w:t xml:space="preserve"> aims to create a positive, equitable and productive working environment. This includes providing staff with an environment that is safe, flexible, fair, culturally appropriate, friendly and professional. Equity principles are a core element of the planning, recruitment, interview, selection and appointment of new employees of </w:t>
      </w:r>
      <w:r w:rsidRPr="00041D1C">
        <w:rPr>
          <w:rFonts w:ascii="Arial" w:hAnsi="Arial" w:cs="Arial"/>
          <w:szCs w:val="22"/>
        </w:rPr>
        <w:t>BCG</w:t>
      </w:r>
      <w:r w:rsidR="008804E4" w:rsidRPr="00041D1C">
        <w:rPr>
          <w:rFonts w:ascii="Arial" w:hAnsi="Arial" w:cs="Arial"/>
          <w:szCs w:val="22"/>
        </w:rPr>
        <w:t>.</w:t>
      </w:r>
    </w:p>
    <w:p w14:paraId="28E282E0" w14:textId="77777777" w:rsidR="008804E4" w:rsidRPr="00041D1C" w:rsidRDefault="008804E4" w:rsidP="00510823">
      <w:pPr>
        <w:spacing w:line="360" w:lineRule="auto"/>
        <w:jc w:val="both"/>
        <w:rPr>
          <w:rFonts w:ascii="Arial" w:hAnsi="Arial" w:cs="Arial"/>
          <w:szCs w:val="22"/>
        </w:rPr>
      </w:pPr>
      <w:r w:rsidRPr="00041D1C">
        <w:rPr>
          <w:rFonts w:ascii="Arial" w:hAnsi="Arial" w:cs="Arial"/>
          <w:szCs w:val="22"/>
        </w:rPr>
        <w:t>It is critical to the achievement of our business goals that we have a culture which respects, values and actively pursues the benefits of diversity.</w:t>
      </w:r>
    </w:p>
    <w:p w14:paraId="14C38CA4" w14:textId="77777777" w:rsidR="008804E4" w:rsidRPr="00041D1C" w:rsidRDefault="00510823" w:rsidP="00510823">
      <w:pPr>
        <w:spacing w:line="360" w:lineRule="auto"/>
        <w:jc w:val="both"/>
        <w:rPr>
          <w:rFonts w:ascii="Arial" w:hAnsi="Arial" w:cs="Arial"/>
          <w:szCs w:val="22"/>
        </w:rPr>
      </w:pPr>
      <w:r w:rsidRPr="00041D1C">
        <w:rPr>
          <w:rFonts w:ascii="Arial" w:hAnsi="Arial" w:cs="Arial"/>
          <w:szCs w:val="22"/>
        </w:rPr>
        <w:t>BCG</w:t>
      </w:r>
      <w:r w:rsidR="008804E4" w:rsidRPr="00041D1C">
        <w:rPr>
          <w:rFonts w:ascii="Arial" w:hAnsi="Arial" w:cs="Arial"/>
          <w:szCs w:val="22"/>
        </w:rPr>
        <w:t xml:space="preserve"> is committed to an equitable and inclusive work environment that is free from discrimination and harassment. The </w:t>
      </w:r>
      <w:proofErr w:type="spellStart"/>
      <w:r w:rsidR="008804E4" w:rsidRPr="00041D1C">
        <w:rPr>
          <w:rFonts w:ascii="Arial" w:hAnsi="Arial" w:cs="Arial"/>
          <w:szCs w:val="22"/>
        </w:rPr>
        <w:t>organisation</w:t>
      </w:r>
      <w:proofErr w:type="spellEnd"/>
      <w:r w:rsidR="008804E4" w:rsidRPr="00041D1C">
        <w:rPr>
          <w:rFonts w:ascii="Arial" w:hAnsi="Arial" w:cs="Arial"/>
          <w:szCs w:val="22"/>
        </w:rPr>
        <w:t xml:space="preserve"> has implemented policies and procedures to promote a discrimination- and harassment-free work environment for all staff to ensure that they are able to work effectively within the </w:t>
      </w:r>
      <w:proofErr w:type="spellStart"/>
      <w:r w:rsidR="008804E4" w:rsidRPr="00041D1C">
        <w:rPr>
          <w:rFonts w:ascii="Arial" w:hAnsi="Arial" w:cs="Arial"/>
          <w:szCs w:val="22"/>
        </w:rPr>
        <w:t>organisation</w:t>
      </w:r>
      <w:proofErr w:type="spellEnd"/>
      <w:r w:rsidR="008804E4" w:rsidRPr="00041D1C">
        <w:rPr>
          <w:rFonts w:ascii="Arial" w:hAnsi="Arial" w:cs="Arial"/>
          <w:szCs w:val="22"/>
        </w:rPr>
        <w:t xml:space="preserve"> and with its clients and stakeholders.</w:t>
      </w:r>
    </w:p>
    <w:p w14:paraId="2CF72B13" w14:textId="77777777" w:rsidR="008804E4" w:rsidRPr="00041D1C" w:rsidRDefault="00510823" w:rsidP="00510823">
      <w:pPr>
        <w:spacing w:line="360" w:lineRule="auto"/>
        <w:jc w:val="both"/>
        <w:rPr>
          <w:rFonts w:ascii="Arial" w:hAnsi="Arial" w:cs="Arial"/>
          <w:szCs w:val="22"/>
        </w:rPr>
      </w:pPr>
      <w:r w:rsidRPr="00041D1C">
        <w:rPr>
          <w:rFonts w:ascii="Arial" w:hAnsi="Arial" w:cs="Arial"/>
          <w:szCs w:val="22"/>
        </w:rPr>
        <w:t xml:space="preserve">BCG </w:t>
      </w:r>
      <w:r w:rsidR="008804E4" w:rsidRPr="00041D1C">
        <w:rPr>
          <w:rFonts w:ascii="Arial" w:hAnsi="Arial" w:cs="Arial"/>
          <w:szCs w:val="22"/>
        </w:rPr>
        <w:t>will assist staff in meeting these objectives with clear policy, education, training and practice.</w:t>
      </w:r>
    </w:p>
    <w:p w14:paraId="213C33EC" w14:textId="77777777" w:rsidR="008804E4" w:rsidRPr="00041D1C" w:rsidRDefault="00510823" w:rsidP="00510823">
      <w:pPr>
        <w:pStyle w:val="Plan2"/>
        <w:spacing w:line="360" w:lineRule="auto"/>
        <w:jc w:val="both"/>
        <w:rPr>
          <w:rFonts w:ascii="Arial" w:hAnsi="Arial"/>
        </w:rPr>
      </w:pPr>
      <w:r w:rsidRPr="00041D1C">
        <w:rPr>
          <w:rFonts w:ascii="Arial" w:hAnsi="Arial"/>
        </w:rPr>
        <w:lastRenderedPageBreak/>
        <w:t>Definitions and A</w:t>
      </w:r>
      <w:r w:rsidR="008804E4" w:rsidRPr="00041D1C">
        <w:rPr>
          <w:rFonts w:ascii="Arial" w:hAnsi="Arial"/>
        </w:rPr>
        <w:t>pplication</w:t>
      </w:r>
    </w:p>
    <w:p w14:paraId="1DA0AB2B" w14:textId="77777777" w:rsidR="008804E4" w:rsidRPr="00041D1C" w:rsidRDefault="00510823" w:rsidP="00510823">
      <w:pPr>
        <w:spacing w:line="360" w:lineRule="auto"/>
        <w:jc w:val="both"/>
        <w:rPr>
          <w:rFonts w:ascii="Arial" w:hAnsi="Arial" w:cs="Arial"/>
          <w:szCs w:val="22"/>
        </w:rPr>
      </w:pPr>
      <w:r w:rsidRPr="00041D1C">
        <w:rPr>
          <w:rFonts w:ascii="Arial" w:hAnsi="Arial" w:cs="Arial"/>
          <w:szCs w:val="22"/>
        </w:rPr>
        <w:t xml:space="preserve">BCG </w:t>
      </w:r>
      <w:r w:rsidR="008804E4" w:rsidRPr="00041D1C">
        <w:rPr>
          <w:rFonts w:ascii="Arial" w:hAnsi="Arial" w:cs="Arial"/>
          <w:szCs w:val="22"/>
        </w:rPr>
        <w:t>is responsible for ensuring that equal employment opportunities exist for all current and future employees. Staff will be selected or promoted according to merit irrespective of personal attributes.</w:t>
      </w:r>
    </w:p>
    <w:p w14:paraId="37D36092" w14:textId="77777777" w:rsidR="008804E4" w:rsidRPr="00041D1C" w:rsidRDefault="008804E4" w:rsidP="00510823">
      <w:pPr>
        <w:spacing w:line="360" w:lineRule="auto"/>
        <w:jc w:val="both"/>
        <w:rPr>
          <w:rFonts w:ascii="Arial" w:hAnsi="Arial" w:cs="Arial"/>
          <w:szCs w:val="22"/>
        </w:rPr>
      </w:pPr>
      <w:r w:rsidRPr="00041D1C">
        <w:rPr>
          <w:rFonts w:ascii="Arial" w:hAnsi="Arial" w:cs="Arial"/>
          <w:szCs w:val="22"/>
        </w:rPr>
        <w:t>In relation to staff, diversity can refer to function, experience, discipline, education, socio-economic background, marital status, personality profile, gender, age, language, ethnicity, culture, sexual orientation, religion, family responsibility, etc.</w:t>
      </w:r>
    </w:p>
    <w:p w14:paraId="432C939C" w14:textId="77777777" w:rsidR="008804E4" w:rsidRPr="00041D1C" w:rsidRDefault="008804E4" w:rsidP="00510823">
      <w:pPr>
        <w:spacing w:line="360" w:lineRule="auto"/>
        <w:jc w:val="both"/>
        <w:rPr>
          <w:rFonts w:ascii="Arial" w:hAnsi="Arial" w:cs="Arial"/>
          <w:szCs w:val="22"/>
        </w:rPr>
      </w:pPr>
      <w:r w:rsidRPr="00041D1C">
        <w:rPr>
          <w:rFonts w:ascii="Arial" w:hAnsi="Arial" w:cs="Arial"/>
          <w:szCs w:val="22"/>
        </w:rPr>
        <w:t>Managing diversity is about creating an environment in which everyone can achieve his or her full potential.</w:t>
      </w:r>
    </w:p>
    <w:p w14:paraId="2027A7F5" w14:textId="77777777" w:rsidR="008804E4" w:rsidRPr="00041D1C" w:rsidRDefault="008804E4" w:rsidP="00510823">
      <w:pPr>
        <w:spacing w:line="360" w:lineRule="auto"/>
        <w:jc w:val="both"/>
        <w:rPr>
          <w:rFonts w:ascii="Arial" w:hAnsi="Arial" w:cs="Arial"/>
          <w:szCs w:val="22"/>
        </w:rPr>
      </w:pPr>
      <w:r w:rsidRPr="00041D1C">
        <w:rPr>
          <w:rFonts w:ascii="Arial" w:hAnsi="Arial" w:cs="Arial"/>
          <w:szCs w:val="22"/>
        </w:rPr>
        <w:t>Employees are happier and more productive if they are appreciated and included, not assimilated or tolerated.</w:t>
      </w:r>
    </w:p>
    <w:p w14:paraId="2C632524" w14:textId="77777777" w:rsidR="008804E4" w:rsidRPr="00041D1C" w:rsidRDefault="008804E4" w:rsidP="00510823">
      <w:pPr>
        <w:spacing w:line="360" w:lineRule="auto"/>
        <w:jc w:val="both"/>
        <w:rPr>
          <w:rFonts w:ascii="Arial" w:hAnsi="Arial" w:cs="Arial"/>
          <w:szCs w:val="22"/>
        </w:rPr>
      </w:pPr>
      <w:r w:rsidRPr="00041D1C">
        <w:rPr>
          <w:rFonts w:ascii="Arial" w:hAnsi="Arial" w:cs="Arial"/>
          <w:szCs w:val="22"/>
        </w:rPr>
        <w:t>Strategic advantages can result from incorporating a wide variety of approaches and perspectives in the workplace. Improved innovation and creativity are documented benefits of diversity. Teams that are diverse and inclusive find more innovative, feasible and effective ways to overcome challenges. They bring a variety of perspectives to a situation and thus offer a wider range of solutions. Diversity also allows for more flexibility in rostering.</w:t>
      </w:r>
    </w:p>
    <w:p w14:paraId="7294A653" w14:textId="77777777" w:rsidR="008804E4" w:rsidRPr="00041D1C" w:rsidRDefault="00510823" w:rsidP="00510823">
      <w:pPr>
        <w:spacing w:line="360" w:lineRule="auto"/>
        <w:jc w:val="both"/>
        <w:rPr>
          <w:rFonts w:ascii="Arial" w:hAnsi="Arial" w:cs="Arial"/>
          <w:szCs w:val="22"/>
        </w:rPr>
      </w:pPr>
      <w:r w:rsidRPr="00041D1C">
        <w:rPr>
          <w:rFonts w:ascii="Arial" w:hAnsi="Arial" w:cs="Arial"/>
          <w:szCs w:val="22"/>
        </w:rPr>
        <w:t>BCG</w:t>
      </w:r>
      <w:r w:rsidR="008804E4" w:rsidRPr="00041D1C">
        <w:rPr>
          <w:rFonts w:ascii="Arial" w:hAnsi="Arial" w:cs="Arial"/>
          <w:szCs w:val="22"/>
        </w:rPr>
        <w:t xml:space="preserve"> is committed to identifying and eliminating the barriers that may be encountered by staff, including the elimination of discriminatory selection criteria and providing equal access to training and development, support and mentoring. This may include the provision of reasonable adjustments. For more information on reasonable adjustments, see the anti-discrimination, anti-harassment and anti-bullying policy.</w:t>
      </w:r>
    </w:p>
    <w:p w14:paraId="4BBDAC99" w14:textId="77777777" w:rsidR="008804E4" w:rsidRPr="00041D1C" w:rsidRDefault="008804E4" w:rsidP="00510823">
      <w:pPr>
        <w:spacing w:line="360" w:lineRule="auto"/>
        <w:jc w:val="both"/>
        <w:rPr>
          <w:rFonts w:ascii="Arial" w:hAnsi="Arial" w:cs="Arial"/>
          <w:szCs w:val="22"/>
        </w:rPr>
      </w:pPr>
      <w:r w:rsidRPr="00041D1C">
        <w:rPr>
          <w:rFonts w:ascii="Arial" w:hAnsi="Arial" w:cs="Arial"/>
          <w:szCs w:val="22"/>
        </w:rPr>
        <w:t xml:space="preserve">Equal employment opportunity and merit-based management and recruitment requires you to avoid discrimination. For more information on anti-discrimination, see the anti-discrimination, anti-harassment and anti-bullying policy. </w:t>
      </w:r>
    </w:p>
    <w:p w14:paraId="46933988" w14:textId="77777777" w:rsidR="00E26C5F" w:rsidRPr="00041D1C" w:rsidRDefault="00E26C5F" w:rsidP="00377A7D">
      <w:pPr>
        <w:pStyle w:val="Plan3"/>
        <w:spacing w:line="360" w:lineRule="auto"/>
        <w:jc w:val="both"/>
        <w:rPr>
          <w:rFonts w:ascii="Arial" w:hAnsi="Arial"/>
          <w:sz w:val="28"/>
        </w:rPr>
      </w:pPr>
      <w:r w:rsidRPr="00041D1C">
        <w:rPr>
          <w:rFonts w:ascii="Arial" w:hAnsi="Arial"/>
          <w:sz w:val="28"/>
        </w:rPr>
        <w:t>Updated/authorised</w:t>
      </w:r>
    </w:p>
    <w:p w14:paraId="1912E8FB" w14:textId="77777777" w:rsidR="002A4DB3" w:rsidRPr="00041D1C" w:rsidRDefault="00E26C5F" w:rsidP="00B941FF">
      <w:pPr>
        <w:spacing w:line="360" w:lineRule="auto"/>
        <w:jc w:val="both"/>
        <w:rPr>
          <w:rFonts w:ascii="Arial" w:hAnsi="Arial" w:cs="Arial"/>
          <w:szCs w:val="22"/>
        </w:rPr>
      </w:pPr>
      <w:r w:rsidRPr="00041D1C">
        <w:rPr>
          <w:rFonts w:ascii="Arial" w:hAnsi="Arial" w:cs="Arial"/>
          <w:szCs w:val="22"/>
        </w:rPr>
        <w:t>201</w:t>
      </w:r>
      <w:r w:rsidR="006C40AE" w:rsidRPr="00041D1C">
        <w:rPr>
          <w:rFonts w:ascii="Arial" w:hAnsi="Arial" w:cs="Arial"/>
          <w:szCs w:val="22"/>
        </w:rPr>
        <w:t>9</w:t>
      </w:r>
      <w:r w:rsidRPr="00041D1C">
        <w:rPr>
          <w:rFonts w:ascii="Arial" w:hAnsi="Arial" w:cs="Arial"/>
          <w:szCs w:val="22"/>
        </w:rPr>
        <w:t xml:space="preserve"> – </w:t>
      </w:r>
      <w:r w:rsidR="00B941FF" w:rsidRPr="00041D1C">
        <w:rPr>
          <w:rFonts w:ascii="Arial" w:hAnsi="Arial" w:cs="Arial"/>
          <w:szCs w:val="22"/>
        </w:rPr>
        <w:t>Jim Murphy CEO</w:t>
      </w:r>
    </w:p>
    <w:sectPr w:rsidR="002A4DB3" w:rsidRPr="00041D1C" w:rsidSect="00041D1C">
      <w:headerReference w:type="default" r:id="rId7"/>
      <w:footerReference w:type="default" r:id="rId8"/>
      <w:pgSz w:w="11906" w:h="16838"/>
      <w:pgMar w:top="1440" w:right="1440" w:bottom="1440"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4B51E" w14:textId="77777777" w:rsidR="0000529C" w:rsidRDefault="0000529C" w:rsidP="00F401A2">
      <w:pPr>
        <w:spacing w:before="0" w:after="0" w:line="240" w:lineRule="auto"/>
      </w:pPr>
      <w:r>
        <w:separator/>
      </w:r>
    </w:p>
  </w:endnote>
  <w:endnote w:type="continuationSeparator" w:id="0">
    <w:p w14:paraId="6DF60270" w14:textId="77777777" w:rsidR="0000529C" w:rsidRDefault="0000529C" w:rsidP="00F40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Yu Gothic"/>
    <w:panose1 w:val="00000000000000000000"/>
    <w:charset w:val="00"/>
    <w:family w:val="swiss"/>
    <w:notTrueType/>
    <w:pitch w:val="default"/>
    <w:sig w:usb0="00000000" w:usb1="08070000" w:usb2="00000010" w:usb3="00000000" w:csb0="00020001" w:csb1="00000000"/>
  </w:font>
  <w:font w:name="Trebuchet MS">
    <w:panose1 w:val="020B0603020202020204"/>
    <w:charset w:val="00"/>
    <w:family w:val="swiss"/>
    <w:pitch w:val="variable"/>
    <w:sig w:usb0="00000287" w:usb1="00000003"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7719" w14:textId="673CD0FF" w:rsidR="00041D1C" w:rsidRPr="001F3C4D" w:rsidRDefault="00041D1C" w:rsidP="00041D1C">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0577DEF0" w14:textId="77777777" w:rsidR="00041D1C" w:rsidRPr="001F3C4D" w:rsidRDefault="00041D1C" w:rsidP="00041D1C">
    <w:pPr>
      <w:pStyle w:val="Footer"/>
      <w:rPr>
        <w:rFonts w:ascii="Arial" w:hAnsi="Arial" w:cs="Arial"/>
        <w:b/>
        <w:bCs/>
        <w:sz w:val="20"/>
        <w:szCs w:val="20"/>
      </w:rPr>
    </w:pPr>
  </w:p>
  <w:p w14:paraId="6B8933CA" w14:textId="2F47F19D" w:rsidR="00332223" w:rsidRPr="00041D1C" w:rsidRDefault="00041D1C" w:rsidP="00041D1C">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r w:rsidR="00332223" w:rsidRPr="009C3E41">
      <w:rPr>
        <w:rFonts w:ascii="Avenir LT Std 35 Light" w:hAnsi="Avenir LT Std 35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DCF3" w14:textId="77777777" w:rsidR="0000529C" w:rsidRDefault="0000529C" w:rsidP="00F401A2">
      <w:pPr>
        <w:spacing w:before="0" w:after="0" w:line="240" w:lineRule="auto"/>
      </w:pPr>
      <w:r>
        <w:separator/>
      </w:r>
    </w:p>
  </w:footnote>
  <w:footnote w:type="continuationSeparator" w:id="0">
    <w:p w14:paraId="4563A2A4" w14:textId="77777777" w:rsidR="0000529C" w:rsidRDefault="0000529C" w:rsidP="00F401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39AE" w14:textId="073CBAD0" w:rsidR="00F401A2" w:rsidRPr="00041D1C" w:rsidRDefault="00DE6953" w:rsidP="00041D1C">
    <w:pPr>
      <w:pStyle w:val="Heading2"/>
      <w:spacing w:before="240" w:after="240" w:line="360" w:lineRule="auto"/>
      <w:ind w:left="1"/>
      <w:rPr>
        <w:rFonts w:ascii="Trebuchet MS" w:hAnsi="Trebuchet MS"/>
        <w:b w:val="0"/>
        <w:bCs w:val="0"/>
        <w:sz w:val="40"/>
        <w:szCs w:val="40"/>
      </w:rPr>
    </w:pPr>
    <w:r>
      <w:rPr>
        <w:noProof/>
        <w:lang w:eastAsia="en-AU"/>
      </w:rPr>
      <mc:AlternateContent>
        <mc:Choice Requires="wps">
          <w:drawing>
            <wp:anchor distT="0" distB="0" distL="114300" distR="114300" simplePos="0" relativeHeight="251661312" behindDoc="0" locked="0" layoutInCell="1" allowOverlap="1" wp14:anchorId="1DF2473D" wp14:editId="72A3A9FA">
              <wp:simplePos x="0" y="0"/>
              <wp:positionH relativeFrom="column">
                <wp:posOffset>4057649</wp:posOffset>
              </wp:positionH>
              <wp:positionV relativeFrom="paragraph">
                <wp:posOffset>26670</wp:posOffset>
              </wp:positionV>
              <wp:extent cx="18002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0225" cy="1200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DFE74A7" w14:textId="77777777" w:rsidR="00F401A2" w:rsidRDefault="00F40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5pt;margin-top:2.1pt;width:141.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" fillcolor="white [3201]" strokecolor="white [3212]" strokeweight=".5pt">
              <v:textbox>
                <w:txbxContent>
                  <w:p w:rsidR="00F401A2" w:rsidRDefault="00F401A2"/>
                </w:txbxContent>
              </v:textbox>
            </v:shape>
          </w:pict>
        </mc:Fallback>
      </mc:AlternateContent>
    </w:r>
    <w:bookmarkStart w:id="2" w:name="_Toc2616773"/>
    <w:r w:rsidR="000A3690" w:rsidRPr="00FB75B1">
      <w:rPr>
        <w:rFonts w:ascii="Trebuchet MS" w:hAnsi="Trebuchet MS"/>
        <w:noProof/>
        <w:lang w:eastAsia="en-AU"/>
      </w:rPr>
      <mc:AlternateContent>
        <mc:Choice Requires="wps">
          <w:drawing>
            <wp:anchor distT="0" distB="0" distL="114300" distR="114300" simplePos="0" relativeHeight="251663360" behindDoc="0" locked="0" layoutInCell="1" allowOverlap="1" wp14:anchorId="0BBCCC37" wp14:editId="64F31F23">
              <wp:simplePos x="0" y="0"/>
              <wp:positionH relativeFrom="margin">
                <wp:align>right</wp:align>
              </wp:positionH>
              <wp:positionV relativeFrom="paragraph">
                <wp:posOffset>-266700</wp:posOffset>
              </wp:positionV>
              <wp:extent cx="1557020" cy="1552575"/>
              <wp:effectExtent l="0" t="0" r="5080" b="9525"/>
              <wp:wrapNone/>
              <wp:docPr id="30" name="Text Box 30"/>
              <wp:cNvGraphicFramePr/>
              <a:graphic xmlns:a="http://schemas.openxmlformats.org/drawingml/2006/main">
                <a:graphicData uri="http://schemas.microsoft.com/office/word/2010/wordprocessingShape">
                  <wps:wsp>
                    <wps:cNvSpPr txBox="1"/>
                    <wps:spPr>
                      <a:xfrm>
                        <a:off x="0" y="0"/>
                        <a:ext cx="155702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8D6BD" w14:textId="77777777" w:rsidR="000A3690" w:rsidRDefault="000A3690" w:rsidP="000A3690">
                          <w:r>
                            <w:rPr>
                              <w:noProof/>
                              <w:lang w:val="en-AU" w:eastAsia="en-AU"/>
                            </w:rPr>
                            <w:drawing>
                              <wp:inline distT="0" distB="0" distL="0" distR="0" wp14:anchorId="33688D20" wp14:editId="34D57AF5">
                                <wp:extent cx="1102434" cy="1113182"/>
                                <wp:effectExtent l="0" t="0" r="254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106890" cy="111768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CCC37" id="_x0000_t202" coordsize="21600,21600" o:spt="202" path="m,l,21600r21600,l21600,xe">
              <v:stroke joinstyle="miter"/>
              <v:path gradientshapeok="t" o:connecttype="rect"/>
            </v:shapetype>
            <v:shape id="Text Box 30" o:spid="_x0000_s1027" type="#_x0000_t202" style="position:absolute;left:0;text-align:left;margin-left:71.4pt;margin-top:-21pt;width:122.6pt;height:12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" fillcolor="white [3201]" stroked="f" strokeweight=".5pt">
              <v:textbox>
                <w:txbxContent>
                  <w:p w14:paraId="4F38D6BD" w14:textId="77777777" w:rsidR="000A3690" w:rsidRDefault="000A3690" w:rsidP="000A3690">
                    <w:r>
                      <w:rPr>
                        <w:noProof/>
                        <w:lang w:val="en-AU" w:eastAsia="en-AU"/>
                      </w:rPr>
                      <w:drawing>
                        <wp:inline distT="0" distB="0" distL="0" distR="0" wp14:anchorId="33688D20" wp14:editId="34D57AF5">
                          <wp:extent cx="1102434" cy="1113182"/>
                          <wp:effectExtent l="0" t="0" r="254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106890" cy="111768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0A3690" w:rsidRPr="00FB75B1">
      <w:rPr>
        <w:rFonts w:ascii="Trebuchet MS" w:hAnsi="Trebuchet MS"/>
      </w:rPr>
      <w:t>John Readings</w:t>
    </w:r>
    <w:bookmarkEnd w:id="2"/>
    <w:r w:rsidR="000A3690">
      <w:rPr>
        <w:rFonts w:ascii="Arial" w:hAnsi="Arial"/>
      </w:rPr>
      <w:t xml:space="preserve">         </w:t>
    </w:r>
    <w:r w:rsidR="000A3690">
      <w:rPr>
        <w:rFonts w:ascii="Arial" w:hAnsi="Arial"/>
        <w:i/>
        <w:sz w:val="32"/>
        <w:szCs w:val="32"/>
      </w:rPr>
      <w:t xml:space="preserve">             </w:t>
    </w:r>
    <w:bookmarkStart w:id="3" w:name="_Toc2616774"/>
    <w:proofErr w:type="spellStart"/>
    <w:r w:rsidR="000A3690" w:rsidRPr="00FB75B1">
      <w:rPr>
        <w:rFonts w:ascii="Trebuchet MS" w:hAnsi="Trebuchet MS"/>
        <w:i/>
        <w:sz w:val="40"/>
        <w:szCs w:val="40"/>
      </w:rPr>
      <w:t>BookCafé</w:t>
    </w:r>
    <w:bookmarkEnd w:id="3"/>
    <w:proofErr w:type="spellEnd"/>
  </w:p>
  <w:p w14:paraId="7ACBB022" w14:textId="77777777" w:rsidR="00F401A2" w:rsidRDefault="00F401A2" w:rsidP="000A3690">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39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114B26A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180A6499"/>
    <w:multiLevelType w:val="multilevel"/>
    <w:tmpl w:val="379E2760"/>
    <w:lvl w:ilvl="0">
      <w:start w:val="1"/>
      <w:numFmt w:val="bullet"/>
      <w:pStyle w:val="B1"/>
      <w:lvlText w:val=""/>
      <w:lvlJc w:val="left"/>
      <w:pPr>
        <w:tabs>
          <w:tab w:val="num" w:pos="567"/>
        </w:tabs>
        <w:ind w:left="567" w:hanging="283"/>
      </w:pPr>
      <w:rPr>
        <w:rFonts w:ascii="Symbol" w:hAnsi="Symbol"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1FD4411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2840699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2B07626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 w15:restartNumberingAfterBreak="0">
    <w:nsid w:val="33B140B4"/>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7" w15:restartNumberingAfterBreak="0">
    <w:nsid w:val="3C45705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15:restartNumberingAfterBreak="0">
    <w:nsid w:val="410D4CA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15:restartNumberingAfterBreak="0">
    <w:nsid w:val="508E2559"/>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62B621E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1" w15:restartNumberingAfterBreak="0">
    <w:nsid w:val="69E30A4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2"/>
  </w:num>
  <w:num w:numId="2">
    <w:abstractNumId w:val="1"/>
  </w:num>
  <w:num w:numId="3">
    <w:abstractNumId w:val="12"/>
  </w:num>
  <w:num w:numId="4">
    <w:abstractNumId w:val="4"/>
  </w:num>
  <w:num w:numId="5">
    <w:abstractNumId w:val="11"/>
  </w:num>
  <w:num w:numId="6">
    <w:abstractNumId w:val="3"/>
  </w:num>
  <w:num w:numId="7">
    <w:abstractNumId w:val="5"/>
  </w:num>
  <w:num w:numId="8">
    <w:abstractNumId w:val="0"/>
  </w:num>
  <w:num w:numId="9">
    <w:abstractNumId w:val="6"/>
  </w:num>
  <w:num w:numId="10">
    <w:abstractNumId w:val="8"/>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nB/hpNP/aueHsuvWX/YbZ3wcMzxA61DFofdrNsxbtfadIbhF1nq7EAXLuV7HZbwNymtXSOl/MEjBvvoJ55ljg==" w:salt="gxQFyC75m/FFYx2F5Aqi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2"/>
    <w:rsid w:val="000042E2"/>
    <w:rsid w:val="0000529C"/>
    <w:rsid w:val="00041D1C"/>
    <w:rsid w:val="00071EA0"/>
    <w:rsid w:val="000809D7"/>
    <w:rsid w:val="00090052"/>
    <w:rsid w:val="000A3690"/>
    <w:rsid w:val="000C603D"/>
    <w:rsid w:val="000F1F4C"/>
    <w:rsid w:val="00103488"/>
    <w:rsid w:val="001146BA"/>
    <w:rsid w:val="001320F3"/>
    <w:rsid w:val="00194664"/>
    <w:rsid w:val="00195F62"/>
    <w:rsid w:val="001C2CC0"/>
    <w:rsid w:val="001E5B7A"/>
    <w:rsid w:val="0020334D"/>
    <w:rsid w:val="002110CF"/>
    <w:rsid w:val="002949FB"/>
    <w:rsid w:val="002A4DB3"/>
    <w:rsid w:val="003222D8"/>
    <w:rsid w:val="00325D52"/>
    <w:rsid w:val="00332223"/>
    <w:rsid w:val="00335F5B"/>
    <w:rsid w:val="00344735"/>
    <w:rsid w:val="00355874"/>
    <w:rsid w:val="0037010A"/>
    <w:rsid w:val="00371D37"/>
    <w:rsid w:val="00377A7D"/>
    <w:rsid w:val="003E625F"/>
    <w:rsid w:val="003F6302"/>
    <w:rsid w:val="004623B8"/>
    <w:rsid w:val="00486269"/>
    <w:rsid w:val="00510823"/>
    <w:rsid w:val="005343BE"/>
    <w:rsid w:val="00593B01"/>
    <w:rsid w:val="005B0EA0"/>
    <w:rsid w:val="005B3A7A"/>
    <w:rsid w:val="0062618E"/>
    <w:rsid w:val="006A4016"/>
    <w:rsid w:val="006B3690"/>
    <w:rsid w:val="006C3761"/>
    <w:rsid w:val="006C40AE"/>
    <w:rsid w:val="006D25B9"/>
    <w:rsid w:val="007224FB"/>
    <w:rsid w:val="00724D6C"/>
    <w:rsid w:val="007507D7"/>
    <w:rsid w:val="00784125"/>
    <w:rsid w:val="007C0014"/>
    <w:rsid w:val="007E3B43"/>
    <w:rsid w:val="00807476"/>
    <w:rsid w:val="00811099"/>
    <w:rsid w:val="00821639"/>
    <w:rsid w:val="00823C9A"/>
    <w:rsid w:val="008714D0"/>
    <w:rsid w:val="008804E4"/>
    <w:rsid w:val="0088602C"/>
    <w:rsid w:val="008D29CB"/>
    <w:rsid w:val="008E31A1"/>
    <w:rsid w:val="008E7508"/>
    <w:rsid w:val="009566DA"/>
    <w:rsid w:val="00982F6C"/>
    <w:rsid w:val="009C3E41"/>
    <w:rsid w:val="00A65EF4"/>
    <w:rsid w:val="00AA36AB"/>
    <w:rsid w:val="00AB6080"/>
    <w:rsid w:val="00AC7A36"/>
    <w:rsid w:val="00B30F6F"/>
    <w:rsid w:val="00B52636"/>
    <w:rsid w:val="00B8030E"/>
    <w:rsid w:val="00B941FF"/>
    <w:rsid w:val="00BE5EB1"/>
    <w:rsid w:val="00C5308B"/>
    <w:rsid w:val="00C56A7D"/>
    <w:rsid w:val="00C62E83"/>
    <w:rsid w:val="00C7008A"/>
    <w:rsid w:val="00C934FF"/>
    <w:rsid w:val="00D30B37"/>
    <w:rsid w:val="00D34A11"/>
    <w:rsid w:val="00D821C9"/>
    <w:rsid w:val="00DD0000"/>
    <w:rsid w:val="00DD25BC"/>
    <w:rsid w:val="00DD70FA"/>
    <w:rsid w:val="00DE6953"/>
    <w:rsid w:val="00E06BF6"/>
    <w:rsid w:val="00E123A8"/>
    <w:rsid w:val="00E128A5"/>
    <w:rsid w:val="00E15929"/>
    <w:rsid w:val="00E26C5F"/>
    <w:rsid w:val="00E76307"/>
    <w:rsid w:val="00F07C04"/>
    <w:rsid w:val="00F401A2"/>
    <w:rsid w:val="00F406FC"/>
    <w:rsid w:val="00F54A2A"/>
    <w:rsid w:val="00F60876"/>
    <w:rsid w:val="00F91C75"/>
    <w:rsid w:val="00F938DD"/>
    <w:rsid w:val="00FF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DF01"/>
  <w15:chartTrackingRefBased/>
  <w15:docId w15:val="{580154C3-626F-4E0A-8E32-1227F0C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53"/>
    <w:pPr>
      <w:spacing w:before="120" w:after="120" w:line="276" w:lineRule="auto"/>
    </w:pPr>
    <w:rPr>
      <w:rFonts w:ascii="Franklin Gothic Book" w:eastAsia="Times New Roman" w:hAnsi="Franklin Gothic Book" w:cs="Times New Roman"/>
      <w:szCs w:val="24"/>
      <w:lang w:val="en-US"/>
    </w:rPr>
  </w:style>
  <w:style w:type="paragraph" w:styleId="Heading1">
    <w:name w:val="heading 1"/>
    <w:basedOn w:val="Normal"/>
    <w:next w:val="Normal"/>
    <w:link w:val="Heading1Char"/>
    <w:uiPriority w:val="9"/>
    <w:qFormat/>
    <w:rsid w:val="00DE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DE6953"/>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lang w:val="en-AU"/>
    </w:rPr>
  </w:style>
  <w:style w:type="paragraph" w:styleId="Heading3">
    <w:name w:val="heading 3"/>
    <w:aliases w:val="Char"/>
    <w:basedOn w:val="Normal"/>
    <w:next w:val="Normal"/>
    <w:link w:val="Heading3Char1"/>
    <w:qFormat/>
    <w:rsid w:val="00DE6953"/>
    <w:pPr>
      <w:keepNext/>
      <w:spacing w:before="360" w:line="240" w:lineRule="auto"/>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A2"/>
  </w:style>
  <w:style w:type="paragraph" w:styleId="Footer">
    <w:name w:val="footer"/>
    <w:basedOn w:val="Normal"/>
    <w:link w:val="FooterChar"/>
    <w:uiPriority w:val="99"/>
    <w:unhideWhenUsed/>
    <w:rsid w:val="00F4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A2"/>
  </w:style>
  <w:style w:type="paragraph" w:customStyle="1" w:styleId="Default">
    <w:name w:val="Default"/>
    <w:rsid w:val="00F401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F401A2"/>
    <w:pPr>
      <w:spacing w:before="100" w:beforeAutospacing="1" w:after="100" w:afterAutospacing="1" w:line="240" w:lineRule="auto"/>
    </w:pPr>
    <w:rPr>
      <w:rFonts w:ascii="Times New Roman" w:hAnsi="Times New Roman"/>
      <w:sz w:val="24"/>
      <w:lang w:eastAsia="en-AU"/>
    </w:rPr>
  </w:style>
  <w:style w:type="character" w:customStyle="1" w:styleId="Heading2Char">
    <w:name w:val="Heading 2 Char"/>
    <w:aliases w:val="Chapter Title Char"/>
    <w:basedOn w:val="DefaultParagraphFont"/>
    <w:link w:val="Heading2"/>
    <w:rsid w:val="00DE6953"/>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DE6953"/>
    <w:rPr>
      <w:rFonts w:asciiTheme="majorHAnsi" w:eastAsiaTheme="majorEastAsia" w:hAnsiTheme="majorHAnsi" w:cstheme="majorBidi"/>
      <w:color w:val="1F4D78" w:themeColor="accent1" w:themeShade="7F"/>
      <w:sz w:val="24"/>
      <w:szCs w:val="24"/>
      <w:lang w:val="en-US"/>
    </w:rPr>
  </w:style>
  <w:style w:type="character" w:customStyle="1" w:styleId="Heading3Char1">
    <w:name w:val="Heading 3 Char1"/>
    <w:aliases w:val="Char Char"/>
    <w:basedOn w:val="DefaultParagraphFont"/>
    <w:link w:val="Heading3"/>
    <w:rsid w:val="00DE6953"/>
    <w:rPr>
      <w:rFonts w:ascii="Franklin Gothic Book" w:eastAsia="Times New Roman" w:hAnsi="Franklin Gothic Book" w:cs="Arial"/>
      <w:b/>
      <w:bCs/>
      <w:sz w:val="28"/>
      <w:szCs w:val="26"/>
      <w:lang w:val="en-US"/>
    </w:rPr>
  </w:style>
  <w:style w:type="paragraph" w:customStyle="1" w:styleId="B1">
    <w:name w:val="B1"/>
    <w:basedOn w:val="ListParagraph"/>
    <w:qFormat/>
    <w:rsid w:val="00DE6953"/>
    <w:pPr>
      <w:numPr>
        <w:numId w:val="1"/>
      </w:numPr>
      <w:tabs>
        <w:tab w:val="clear" w:pos="567"/>
        <w:tab w:val="num" w:pos="360"/>
      </w:tabs>
      <w:ind w:left="568" w:hanging="284"/>
      <w:contextualSpacing w:val="0"/>
    </w:pPr>
  </w:style>
  <w:style w:type="character" w:customStyle="1" w:styleId="Heading1Char">
    <w:name w:val="Heading 1 Char"/>
    <w:basedOn w:val="DefaultParagraphFont"/>
    <w:link w:val="Heading1"/>
    <w:uiPriority w:val="9"/>
    <w:rsid w:val="00DE6953"/>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Bullets,Table numbering,List Paragraph1,Single bullet style"/>
    <w:basedOn w:val="Normal"/>
    <w:link w:val="ListParagraphChar"/>
    <w:uiPriority w:val="34"/>
    <w:qFormat/>
    <w:rsid w:val="00DE6953"/>
    <w:pPr>
      <w:ind w:left="720"/>
      <w:contextualSpacing/>
    </w:pPr>
  </w:style>
  <w:style w:type="table" w:styleId="TableGrid">
    <w:name w:val="Table Grid"/>
    <w:basedOn w:val="TableNormal"/>
    <w:rsid w:val="009C3E41"/>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C3E41"/>
    <w:pPr>
      <w:keepNext/>
      <w:spacing w:line="240" w:lineRule="auto"/>
    </w:pPr>
    <w:rPr>
      <w:b/>
    </w:rPr>
  </w:style>
  <w:style w:type="paragraph" w:customStyle="1" w:styleId="Plan3">
    <w:name w:val="Plan 3"/>
    <w:qFormat/>
    <w:rsid w:val="00E76307"/>
    <w:pPr>
      <w:keepNext/>
      <w:spacing w:before="240" w:after="120" w:line="276" w:lineRule="auto"/>
    </w:pPr>
    <w:rPr>
      <w:rFonts w:ascii="Verdana" w:eastAsia="Times New Roman" w:hAnsi="Verdana" w:cs="Arial"/>
      <w:b/>
      <w:bCs/>
      <w:color w:val="000000"/>
      <w:szCs w:val="28"/>
      <w:lang w:eastAsia="en-AU"/>
    </w:rPr>
  </w:style>
  <w:style w:type="character" w:customStyle="1" w:styleId="ListParagraphChar">
    <w:name w:val="List Paragraph Char"/>
    <w:aliases w:val="Bullets Char,Table numbering Char,List Paragraph1 Char,Single bullet style Char"/>
    <w:basedOn w:val="DefaultParagraphFont"/>
    <w:link w:val="ListParagraph"/>
    <w:uiPriority w:val="34"/>
    <w:rsid w:val="00E76307"/>
    <w:rPr>
      <w:rFonts w:ascii="Franklin Gothic Book" w:eastAsia="Times New Roman" w:hAnsi="Franklin Gothic Book" w:cs="Times New Roman"/>
      <w:szCs w:val="24"/>
      <w:lang w:val="en-US"/>
    </w:rPr>
  </w:style>
  <w:style w:type="paragraph" w:customStyle="1" w:styleId="AHSbullet1">
    <w:name w:val="AHS bullet 1"/>
    <w:basedOn w:val="ListParagraph"/>
    <w:qFormat/>
    <w:rsid w:val="0088602C"/>
    <w:pPr>
      <w:numPr>
        <w:numId w:val="3"/>
      </w:numPr>
      <w:contextualSpacing w:val="0"/>
    </w:pPr>
    <w:rPr>
      <w:rFonts w:ascii="Verdana" w:hAnsi="Verdana"/>
      <w:szCs w:val="22"/>
      <w:lang w:val="en-AU" w:eastAsia="en-AU"/>
    </w:rPr>
  </w:style>
  <w:style w:type="paragraph" w:customStyle="1" w:styleId="AHSHead3">
    <w:name w:val="AHS Head 3"/>
    <w:basedOn w:val="Normal"/>
    <w:qFormat/>
    <w:rsid w:val="0088602C"/>
    <w:pPr>
      <w:keepNext/>
      <w:tabs>
        <w:tab w:val="left" w:pos="4768"/>
      </w:tabs>
      <w:spacing w:before="360"/>
    </w:pPr>
    <w:rPr>
      <w:rFonts w:ascii="Verdana" w:hAnsi="Verdana" w:cs="Arial"/>
      <w:b/>
      <w:color w:val="000000"/>
      <w:sz w:val="28"/>
      <w:szCs w:val="28"/>
      <w:lang w:val="en-AU" w:eastAsia="en-AU"/>
    </w:rPr>
  </w:style>
  <w:style w:type="paragraph" w:customStyle="1" w:styleId="AHHead4">
    <w:name w:val="AH Head 4"/>
    <w:basedOn w:val="Normal"/>
    <w:qFormat/>
    <w:rsid w:val="0088602C"/>
    <w:pPr>
      <w:spacing w:before="240"/>
    </w:pPr>
    <w:rPr>
      <w:rFonts w:ascii="Verdana" w:hAnsi="Verdana" w:cs="TimesNewRomanPSMT"/>
      <w:b/>
      <w:bCs/>
      <w:sz w:val="24"/>
      <w:lang w:val="en-AU" w:eastAsia="en-AU"/>
    </w:rPr>
  </w:style>
  <w:style w:type="character" w:styleId="Hyperlink">
    <w:name w:val="Hyperlink"/>
    <w:basedOn w:val="DefaultParagraphFont"/>
    <w:uiPriority w:val="99"/>
    <w:rsid w:val="0088602C"/>
    <w:rPr>
      <w:i/>
      <w:color w:val="auto"/>
      <w:u w:val="none"/>
    </w:rPr>
  </w:style>
  <w:style w:type="paragraph" w:styleId="BodyText">
    <w:name w:val="Body Text"/>
    <w:basedOn w:val="Normal"/>
    <w:link w:val="BodyTextChar"/>
    <w:rsid w:val="00194664"/>
    <w:rPr>
      <w:rFonts w:ascii="Verdana" w:hAnsi="Verdana"/>
      <w:lang w:val="en-AU" w:eastAsia="en-AU"/>
    </w:rPr>
  </w:style>
  <w:style w:type="character" w:customStyle="1" w:styleId="BodyTextChar">
    <w:name w:val="Body Text Char"/>
    <w:basedOn w:val="DefaultParagraphFont"/>
    <w:link w:val="BodyText"/>
    <w:rsid w:val="00194664"/>
    <w:rPr>
      <w:rFonts w:ascii="Verdana" w:eastAsia="Times New Roman" w:hAnsi="Verdana" w:cs="Times New Roman"/>
      <w:szCs w:val="24"/>
      <w:lang w:eastAsia="en-AU"/>
    </w:rPr>
  </w:style>
  <w:style w:type="paragraph" w:customStyle="1" w:styleId="AHSHead2">
    <w:name w:val="AHS Head 2"/>
    <w:basedOn w:val="Normal"/>
    <w:qFormat/>
    <w:rsid w:val="00194664"/>
    <w:pPr>
      <w:pBdr>
        <w:bottom w:val="single" w:sz="4" w:space="1" w:color="auto"/>
      </w:pBdr>
      <w:spacing w:before="360" w:after="360"/>
    </w:pPr>
    <w:rPr>
      <w:rFonts w:ascii="Verdana" w:hAnsi="Verdana"/>
      <w:b/>
      <w:sz w:val="32"/>
      <w:szCs w:val="32"/>
      <w:lang w:val="en-AU" w:eastAsia="en-AU"/>
    </w:rPr>
  </w:style>
  <w:style w:type="paragraph" w:customStyle="1" w:styleId="Plan2">
    <w:name w:val="Plan 2"/>
    <w:basedOn w:val="Normal"/>
    <w:qFormat/>
    <w:rsid w:val="00E26C5F"/>
    <w:pPr>
      <w:keepNext/>
      <w:tabs>
        <w:tab w:val="left" w:pos="4768"/>
      </w:tabs>
      <w:spacing w:before="240"/>
    </w:pPr>
    <w:rPr>
      <w:rFonts w:ascii="Verdana" w:hAnsi="Verdana" w:cs="Arial"/>
      <w:b/>
      <w:color w:val="000000"/>
      <w:sz w:val="28"/>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2833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Mission, Vision and Strategic Plan</vt:lpstr>
    </vt:vector>
  </TitlesOfParts>
  <Company>College for Adult Learning</Company>
  <LinksUpToDate>false</LinksUpToDate>
  <CharactersWithSpaces>3324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Strategic Plan</dc:title>
  <dc:subject>John Readings</dc:subject>
  <dc:creator>Helen Sabell</dc:creator>
  <cp:keywords/>
  <dc:description/>
  <cp:lastModifiedBy>Sarah Sabell</cp:lastModifiedBy>
  <cp:revision>4</cp:revision>
  <dcterms:created xsi:type="dcterms:W3CDTF">2019-04-01T05:32:00Z</dcterms:created>
  <dcterms:modified xsi:type="dcterms:W3CDTF">2019-07-08T11:15:00Z</dcterms:modified>
  <cp:category>Case Study</cp:category>
</cp:coreProperties>
</file>