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76093" w14:textId="77777777" w:rsidR="006A441D" w:rsidRPr="006A441D" w:rsidRDefault="00FC2DB3" w:rsidP="006A441D">
      <w:pPr>
        <w:spacing w:before="240" w:after="240" w:line="360" w:lineRule="auto"/>
        <w:rPr>
          <w:rFonts w:ascii="Arial" w:hAnsi="Arial" w:cs="Arial"/>
          <w:b/>
        </w:rPr>
      </w:pPr>
      <w:bookmarkStart w:id="0" w:name="_GoBack"/>
      <w:bookmarkEnd w:id="0"/>
      <w:r w:rsidRPr="006A441D">
        <w:rPr>
          <w:rFonts w:ascii="Arial" w:hAnsi="Arial" w:cs="Arial"/>
          <w:b/>
        </w:rPr>
        <w:t>Payroll Control Policy</w:t>
      </w:r>
    </w:p>
    <w:tbl>
      <w:tblPr>
        <w:tblStyle w:val="TableGrid"/>
        <w:tblpPr w:leftFromText="180" w:rightFromText="180" w:vertAnchor="text" w:horzAnchor="margin" w:tblpY="47"/>
        <w:tblW w:w="0" w:type="auto"/>
        <w:tblLook w:val="04A0" w:firstRow="1" w:lastRow="0" w:firstColumn="1" w:lastColumn="0" w:noHBand="0" w:noVBand="1"/>
      </w:tblPr>
      <w:tblGrid>
        <w:gridCol w:w="2875"/>
        <w:gridCol w:w="6141"/>
      </w:tblGrid>
      <w:tr w:rsidR="006A441D" w:rsidRPr="006A441D" w14:paraId="6DD1BD3B" w14:textId="77777777" w:rsidTr="0059543B">
        <w:tc>
          <w:tcPr>
            <w:tcW w:w="2875" w:type="dxa"/>
          </w:tcPr>
          <w:p w14:paraId="18B0AA2B" w14:textId="77777777" w:rsidR="006A441D" w:rsidRPr="006A441D" w:rsidRDefault="006A441D" w:rsidP="006A441D">
            <w:pPr>
              <w:pStyle w:val="Heading3"/>
              <w:spacing w:before="240" w:after="240" w:line="360" w:lineRule="auto"/>
              <w:outlineLvl w:val="2"/>
              <w:rPr>
                <w:rFonts w:ascii="Arial" w:hAnsi="Arial" w:cs="Arial"/>
                <w:i/>
                <w:color w:val="auto"/>
                <w:sz w:val="22"/>
                <w:szCs w:val="22"/>
              </w:rPr>
            </w:pPr>
            <w:r w:rsidRPr="006A441D">
              <w:rPr>
                <w:rFonts w:ascii="Arial" w:hAnsi="Arial" w:cs="Arial"/>
                <w:i/>
                <w:color w:val="auto"/>
                <w:sz w:val="22"/>
                <w:szCs w:val="22"/>
              </w:rPr>
              <w:t>Purpose</w:t>
            </w:r>
          </w:p>
        </w:tc>
        <w:tc>
          <w:tcPr>
            <w:tcW w:w="6141" w:type="dxa"/>
          </w:tcPr>
          <w:p w14:paraId="4C7CE108" w14:textId="77777777" w:rsidR="006A441D" w:rsidRPr="0059543B" w:rsidRDefault="006A441D" w:rsidP="006A441D">
            <w:pPr>
              <w:pStyle w:val="Heading3"/>
              <w:spacing w:before="240" w:after="240" w:line="360" w:lineRule="auto"/>
              <w:outlineLvl w:val="2"/>
              <w:rPr>
                <w:rFonts w:ascii="Arial" w:hAnsi="Arial" w:cs="Arial"/>
                <w:b/>
                <w:color w:val="auto"/>
                <w:sz w:val="22"/>
                <w:szCs w:val="22"/>
              </w:rPr>
            </w:pPr>
            <w:r w:rsidRPr="0059543B">
              <w:rPr>
                <w:rFonts w:ascii="Arial" w:hAnsi="Arial" w:cs="Arial"/>
                <w:color w:val="auto"/>
                <w:sz w:val="22"/>
                <w:szCs w:val="22"/>
              </w:rPr>
              <w:t>The purpose of this policy is to ensure the integrity of the payroll system against risk from fraud or mismanagement or accidental error.</w:t>
            </w:r>
          </w:p>
        </w:tc>
      </w:tr>
      <w:tr w:rsidR="006A441D" w:rsidRPr="006A441D" w14:paraId="768AF256" w14:textId="77777777" w:rsidTr="0059543B">
        <w:tc>
          <w:tcPr>
            <w:tcW w:w="2875" w:type="dxa"/>
          </w:tcPr>
          <w:p w14:paraId="22556BA8" w14:textId="77777777" w:rsidR="006A441D" w:rsidRPr="006A441D" w:rsidRDefault="006A441D" w:rsidP="006A441D">
            <w:pPr>
              <w:pStyle w:val="Heading3"/>
              <w:spacing w:before="240" w:after="240" w:line="360" w:lineRule="auto"/>
              <w:outlineLvl w:val="2"/>
              <w:rPr>
                <w:rFonts w:ascii="Arial" w:hAnsi="Arial" w:cs="Arial"/>
                <w:i/>
                <w:color w:val="auto"/>
                <w:sz w:val="22"/>
                <w:szCs w:val="22"/>
              </w:rPr>
            </w:pPr>
            <w:r w:rsidRPr="006A441D">
              <w:rPr>
                <w:rFonts w:ascii="Arial" w:hAnsi="Arial" w:cs="Arial"/>
                <w:i/>
                <w:color w:val="auto"/>
                <w:sz w:val="22"/>
                <w:szCs w:val="22"/>
              </w:rPr>
              <w:t>Scope</w:t>
            </w:r>
          </w:p>
        </w:tc>
        <w:tc>
          <w:tcPr>
            <w:tcW w:w="6141" w:type="dxa"/>
          </w:tcPr>
          <w:p w14:paraId="420FE32C" w14:textId="77777777" w:rsidR="006A441D" w:rsidRPr="0059543B" w:rsidRDefault="006A441D" w:rsidP="006A441D">
            <w:pPr>
              <w:pStyle w:val="Heading3"/>
              <w:spacing w:before="240" w:after="240" w:line="360" w:lineRule="auto"/>
              <w:outlineLvl w:val="2"/>
              <w:rPr>
                <w:rFonts w:ascii="Arial" w:hAnsi="Arial" w:cs="Arial"/>
                <w:b/>
                <w:color w:val="auto"/>
                <w:sz w:val="22"/>
                <w:szCs w:val="22"/>
              </w:rPr>
            </w:pPr>
            <w:r w:rsidRPr="0059543B">
              <w:rPr>
                <w:rFonts w:ascii="Arial" w:hAnsi="Arial" w:cs="Arial"/>
                <w:color w:val="auto"/>
                <w:sz w:val="22"/>
                <w:szCs w:val="22"/>
              </w:rPr>
              <w:t>The scope of this policy covers all employees and contractors of The Book Café Group (BCG).</w:t>
            </w:r>
          </w:p>
        </w:tc>
      </w:tr>
      <w:tr w:rsidR="006A441D" w:rsidRPr="006A441D" w14:paraId="19904959" w14:textId="77777777" w:rsidTr="0059543B">
        <w:tc>
          <w:tcPr>
            <w:tcW w:w="2875" w:type="dxa"/>
          </w:tcPr>
          <w:p w14:paraId="4B7FC7E6" w14:textId="77777777" w:rsidR="006A441D" w:rsidRPr="006A441D" w:rsidRDefault="006A441D" w:rsidP="006A441D">
            <w:pPr>
              <w:pStyle w:val="Heading3"/>
              <w:spacing w:before="240" w:after="240" w:line="360" w:lineRule="auto"/>
              <w:outlineLvl w:val="2"/>
              <w:rPr>
                <w:rFonts w:ascii="Arial" w:hAnsi="Arial" w:cs="Arial"/>
                <w:i/>
                <w:color w:val="auto"/>
                <w:sz w:val="22"/>
                <w:szCs w:val="22"/>
              </w:rPr>
            </w:pPr>
            <w:r w:rsidRPr="006A441D">
              <w:rPr>
                <w:rFonts w:ascii="Arial" w:hAnsi="Arial" w:cs="Arial"/>
                <w:i/>
                <w:color w:val="auto"/>
                <w:sz w:val="22"/>
                <w:szCs w:val="22"/>
              </w:rPr>
              <w:t>Resources</w:t>
            </w:r>
          </w:p>
        </w:tc>
        <w:tc>
          <w:tcPr>
            <w:tcW w:w="6141" w:type="dxa"/>
          </w:tcPr>
          <w:p w14:paraId="0024A9BC" w14:textId="77777777" w:rsidR="006A441D" w:rsidRPr="0059543B" w:rsidRDefault="006A441D" w:rsidP="006A441D">
            <w:pPr>
              <w:pStyle w:val="Heading3"/>
              <w:spacing w:before="240" w:after="240" w:line="360" w:lineRule="auto"/>
              <w:outlineLvl w:val="2"/>
              <w:rPr>
                <w:rFonts w:ascii="Arial" w:hAnsi="Arial" w:cs="Arial"/>
                <w:b/>
                <w:color w:val="auto"/>
                <w:sz w:val="22"/>
                <w:szCs w:val="22"/>
              </w:rPr>
            </w:pPr>
            <w:r w:rsidRPr="0059543B">
              <w:rPr>
                <w:rFonts w:ascii="Arial" w:hAnsi="Arial" w:cs="Arial"/>
                <w:color w:val="auto"/>
                <w:sz w:val="22"/>
                <w:szCs w:val="22"/>
              </w:rPr>
              <w:t>Specific procedures for the implementation of this policy available below.</w:t>
            </w:r>
          </w:p>
        </w:tc>
      </w:tr>
      <w:tr w:rsidR="006A441D" w:rsidRPr="006A441D" w14:paraId="4E418F0E" w14:textId="77777777" w:rsidTr="0059543B">
        <w:tc>
          <w:tcPr>
            <w:tcW w:w="2875" w:type="dxa"/>
          </w:tcPr>
          <w:p w14:paraId="4F5A89B7" w14:textId="77777777" w:rsidR="006A441D" w:rsidRPr="006A441D" w:rsidRDefault="006A441D" w:rsidP="006A441D">
            <w:pPr>
              <w:pStyle w:val="Heading3"/>
              <w:spacing w:before="240" w:after="240" w:line="360" w:lineRule="auto"/>
              <w:outlineLvl w:val="2"/>
              <w:rPr>
                <w:rFonts w:ascii="Arial" w:hAnsi="Arial" w:cs="Arial"/>
                <w:i/>
                <w:color w:val="auto"/>
                <w:sz w:val="22"/>
                <w:szCs w:val="22"/>
              </w:rPr>
            </w:pPr>
            <w:r w:rsidRPr="006A441D">
              <w:rPr>
                <w:rFonts w:ascii="Arial" w:hAnsi="Arial" w:cs="Arial"/>
                <w:i/>
                <w:color w:val="auto"/>
                <w:sz w:val="22"/>
                <w:szCs w:val="22"/>
              </w:rPr>
              <w:t>Responsibility</w:t>
            </w:r>
          </w:p>
        </w:tc>
        <w:tc>
          <w:tcPr>
            <w:tcW w:w="6141" w:type="dxa"/>
          </w:tcPr>
          <w:p w14:paraId="5F620408" w14:textId="77777777" w:rsidR="006A441D" w:rsidRPr="0059543B" w:rsidRDefault="006A441D" w:rsidP="006A441D">
            <w:pPr>
              <w:pStyle w:val="Heading3"/>
              <w:spacing w:before="240" w:after="240" w:line="360" w:lineRule="auto"/>
              <w:outlineLvl w:val="2"/>
              <w:rPr>
                <w:rFonts w:ascii="Arial" w:hAnsi="Arial" w:cs="Arial"/>
                <w:b/>
                <w:color w:val="auto"/>
                <w:sz w:val="22"/>
                <w:szCs w:val="22"/>
              </w:rPr>
            </w:pPr>
            <w:r w:rsidRPr="0059543B">
              <w:rPr>
                <w:rFonts w:ascii="Arial" w:hAnsi="Arial" w:cs="Arial"/>
                <w:color w:val="auto"/>
                <w:sz w:val="22"/>
                <w:szCs w:val="22"/>
              </w:rPr>
              <w:t>Responsibility for the implementation of this policy rests with all employees and contractors of BCG, particularly employees and management with responsibility for overseeing the administration of or direct administration and processing of payroll</w:t>
            </w:r>
          </w:p>
        </w:tc>
      </w:tr>
      <w:tr w:rsidR="006A441D" w:rsidRPr="006A441D" w14:paraId="6FAA54F5" w14:textId="77777777" w:rsidTr="0059543B">
        <w:tc>
          <w:tcPr>
            <w:tcW w:w="2875" w:type="dxa"/>
          </w:tcPr>
          <w:p w14:paraId="4419F85B" w14:textId="77777777" w:rsidR="006A441D" w:rsidRPr="006A441D" w:rsidRDefault="006A441D" w:rsidP="006A441D">
            <w:pPr>
              <w:pStyle w:val="Heading3"/>
              <w:spacing w:before="240" w:after="240" w:line="360" w:lineRule="auto"/>
              <w:outlineLvl w:val="2"/>
              <w:rPr>
                <w:rFonts w:ascii="Arial" w:hAnsi="Arial" w:cs="Arial"/>
                <w:i/>
                <w:color w:val="auto"/>
                <w:sz w:val="22"/>
                <w:szCs w:val="22"/>
              </w:rPr>
            </w:pPr>
            <w:r w:rsidRPr="006A441D">
              <w:rPr>
                <w:rFonts w:ascii="Arial" w:hAnsi="Arial" w:cs="Arial"/>
                <w:i/>
                <w:color w:val="auto"/>
                <w:sz w:val="22"/>
                <w:szCs w:val="22"/>
              </w:rPr>
              <w:t>Relevant legislation etc.</w:t>
            </w:r>
          </w:p>
        </w:tc>
        <w:tc>
          <w:tcPr>
            <w:tcW w:w="6141" w:type="dxa"/>
          </w:tcPr>
          <w:p w14:paraId="3359A6F5" w14:textId="77777777" w:rsidR="006A441D" w:rsidRPr="0059543B" w:rsidRDefault="006A441D" w:rsidP="006A441D">
            <w:pPr>
              <w:pStyle w:val="Bullet1"/>
              <w:numPr>
                <w:ilvl w:val="0"/>
                <w:numId w:val="5"/>
              </w:numPr>
              <w:tabs>
                <w:tab w:val="num" w:pos="310"/>
              </w:tabs>
              <w:spacing w:before="240" w:after="240" w:line="360" w:lineRule="auto"/>
              <w:ind w:left="310"/>
              <w:rPr>
                <w:rFonts w:ascii="Arial" w:hAnsi="Arial" w:cs="Arial"/>
                <w:szCs w:val="22"/>
              </w:rPr>
            </w:pPr>
            <w:r w:rsidRPr="0059543B">
              <w:rPr>
                <w:rFonts w:ascii="Arial" w:hAnsi="Arial" w:cs="Arial"/>
                <w:i/>
                <w:szCs w:val="22"/>
              </w:rPr>
              <w:t>Australian Securities and Investments Commission Act 2001</w:t>
            </w:r>
            <w:r w:rsidRPr="0059543B">
              <w:rPr>
                <w:rFonts w:ascii="Arial" w:hAnsi="Arial" w:cs="Arial"/>
                <w:szCs w:val="22"/>
              </w:rPr>
              <w:t xml:space="preserve"> (Cwlth)</w:t>
            </w:r>
          </w:p>
          <w:p w14:paraId="1166CE10" w14:textId="77777777" w:rsidR="006A441D" w:rsidRPr="0059543B" w:rsidRDefault="006A441D" w:rsidP="006A441D">
            <w:pPr>
              <w:pStyle w:val="Bullet1"/>
              <w:numPr>
                <w:ilvl w:val="0"/>
                <w:numId w:val="5"/>
              </w:numPr>
              <w:tabs>
                <w:tab w:val="num" w:pos="310"/>
              </w:tabs>
              <w:spacing w:before="240" w:after="240" w:line="360" w:lineRule="auto"/>
              <w:ind w:left="310"/>
              <w:rPr>
                <w:rFonts w:ascii="Arial" w:hAnsi="Arial" w:cs="Arial"/>
                <w:szCs w:val="22"/>
              </w:rPr>
            </w:pPr>
            <w:r w:rsidRPr="0059543B">
              <w:rPr>
                <w:rFonts w:ascii="Arial" w:hAnsi="Arial" w:cs="Arial"/>
                <w:i/>
                <w:szCs w:val="22"/>
              </w:rPr>
              <w:t>Corporations Act 2001</w:t>
            </w:r>
            <w:r w:rsidRPr="0059543B">
              <w:rPr>
                <w:rFonts w:ascii="Arial" w:hAnsi="Arial" w:cs="Arial"/>
                <w:szCs w:val="22"/>
              </w:rPr>
              <w:t xml:space="preserve"> (Cwlth)</w:t>
            </w:r>
          </w:p>
          <w:p w14:paraId="2FFBF31C" w14:textId="77777777" w:rsidR="006A441D" w:rsidRPr="0059543B" w:rsidRDefault="006A441D" w:rsidP="006A441D">
            <w:pPr>
              <w:pStyle w:val="Bullet1"/>
              <w:numPr>
                <w:ilvl w:val="0"/>
                <w:numId w:val="5"/>
              </w:numPr>
              <w:tabs>
                <w:tab w:val="num" w:pos="310"/>
              </w:tabs>
              <w:spacing w:before="240" w:after="240" w:line="360" w:lineRule="auto"/>
              <w:ind w:left="310"/>
              <w:rPr>
                <w:rFonts w:ascii="Arial" w:hAnsi="Arial" w:cs="Arial"/>
                <w:szCs w:val="22"/>
              </w:rPr>
            </w:pPr>
            <w:r w:rsidRPr="0059543B">
              <w:rPr>
                <w:rFonts w:ascii="Arial" w:hAnsi="Arial" w:cs="Arial"/>
                <w:szCs w:val="22"/>
              </w:rPr>
              <w:t>Australian Accounting Standards.</w:t>
            </w:r>
          </w:p>
        </w:tc>
      </w:tr>
      <w:tr w:rsidR="006A441D" w:rsidRPr="006A441D" w14:paraId="7A945801" w14:textId="77777777" w:rsidTr="0059543B">
        <w:tc>
          <w:tcPr>
            <w:tcW w:w="2875" w:type="dxa"/>
          </w:tcPr>
          <w:p w14:paraId="748A2865" w14:textId="77777777" w:rsidR="006A441D" w:rsidRPr="006A441D" w:rsidRDefault="006A441D" w:rsidP="006A441D">
            <w:pPr>
              <w:pStyle w:val="Heading3"/>
              <w:spacing w:before="240" w:after="240" w:line="360" w:lineRule="auto"/>
              <w:outlineLvl w:val="2"/>
              <w:rPr>
                <w:rFonts w:ascii="Arial" w:hAnsi="Arial" w:cs="Arial"/>
                <w:i/>
                <w:color w:val="auto"/>
                <w:sz w:val="22"/>
                <w:szCs w:val="22"/>
              </w:rPr>
            </w:pPr>
            <w:r w:rsidRPr="006A441D">
              <w:rPr>
                <w:rFonts w:ascii="Arial" w:hAnsi="Arial" w:cs="Arial"/>
                <w:i/>
                <w:color w:val="auto"/>
                <w:sz w:val="22"/>
                <w:szCs w:val="22"/>
              </w:rPr>
              <w:t>Updated/authorised</w:t>
            </w:r>
          </w:p>
        </w:tc>
        <w:tc>
          <w:tcPr>
            <w:tcW w:w="6141" w:type="dxa"/>
          </w:tcPr>
          <w:p w14:paraId="733CB262" w14:textId="77777777" w:rsidR="006A441D" w:rsidRPr="0059543B" w:rsidRDefault="006A441D" w:rsidP="006A441D">
            <w:pPr>
              <w:pStyle w:val="Heading3"/>
              <w:spacing w:before="240" w:after="240" w:line="360" w:lineRule="auto"/>
              <w:outlineLvl w:val="2"/>
              <w:rPr>
                <w:rFonts w:ascii="Arial" w:hAnsi="Arial" w:cs="Arial"/>
                <w:b/>
                <w:color w:val="auto"/>
                <w:sz w:val="22"/>
                <w:szCs w:val="22"/>
              </w:rPr>
            </w:pPr>
            <w:r w:rsidRPr="0059543B">
              <w:rPr>
                <w:rFonts w:ascii="Arial" w:hAnsi="Arial" w:cs="Arial"/>
                <w:color w:val="auto"/>
                <w:sz w:val="22"/>
                <w:szCs w:val="22"/>
              </w:rPr>
              <w:t>01/2019 – Jack Tan Finance and Operations Manager</w:t>
            </w:r>
          </w:p>
        </w:tc>
      </w:tr>
    </w:tbl>
    <w:p w14:paraId="280108B0" w14:textId="77777777" w:rsidR="00017CAC" w:rsidRPr="006A441D" w:rsidRDefault="00017CAC" w:rsidP="006A441D">
      <w:pPr>
        <w:rPr>
          <w:rFonts w:ascii="Arial" w:hAnsi="Arial" w:cs="Arial"/>
        </w:rPr>
      </w:pPr>
    </w:p>
    <w:p w14:paraId="4AB7182F" w14:textId="77777777" w:rsidR="00694D7B" w:rsidRDefault="00694D7B">
      <w:pPr>
        <w:rPr>
          <w:rFonts w:ascii="Arial" w:eastAsiaTheme="majorEastAsia" w:hAnsi="Arial" w:cs="Arial"/>
          <w:b/>
        </w:rPr>
      </w:pPr>
      <w:r>
        <w:rPr>
          <w:rFonts w:ascii="Arial" w:hAnsi="Arial" w:cs="Arial"/>
          <w:b/>
        </w:rPr>
        <w:br w:type="page"/>
      </w:r>
    </w:p>
    <w:p w14:paraId="6D27B184" w14:textId="77777777" w:rsidR="007C5D09" w:rsidRPr="006A441D" w:rsidRDefault="007C5D09" w:rsidP="006A441D">
      <w:pPr>
        <w:pStyle w:val="Heading3"/>
        <w:spacing w:before="240" w:after="240" w:line="360" w:lineRule="auto"/>
        <w:rPr>
          <w:rFonts w:ascii="Arial" w:hAnsi="Arial" w:cs="Arial"/>
          <w:b/>
          <w:color w:val="auto"/>
          <w:sz w:val="22"/>
          <w:szCs w:val="22"/>
        </w:rPr>
      </w:pPr>
      <w:r w:rsidRPr="006A441D">
        <w:rPr>
          <w:rFonts w:ascii="Arial" w:hAnsi="Arial" w:cs="Arial"/>
          <w:b/>
          <w:color w:val="auto"/>
          <w:sz w:val="22"/>
          <w:szCs w:val="22"/>
        </w:rPr>
        <w:lastRenderedPageBreak/>
        <w:t xml:space="preserve">Payroll </w:t>
      </w:r>
      <w:r w:rsidR="003A6FC2" w:rsidRPr="006A441D">
        <w:rPr>
          <w:rFonts w:ascii="Arial" w:hAnsi="Arial" w:cs="Arial"/>
          <w:b/>
          <w:color w:val="auto"/>
          <w:sz w:val="22"/>
          <w:szCs w:val="22"/>
        </w:rPr>
        <w:t>Processing Procedures</w:t>
      </w:r>
    </w:p>
    <w:p w14:paraId="26D20B1E" w14:textId="77777777" w:rsidR="007C5D09" w:rsidRPr="006A441D" w:rsidRDefault="007C5D09" w:rsidP="006A441D">
      <w:pPr>
        <w:spacing w:before="240" w:after="240" w:line="360" w:lineRule="auto"/>
        <w:rPr>
          <w:rFonts w:ascii="Arial" w:hAnsi="Arial" w:cs="Arial"/>
        </w:rPr>
      </w:pPr>
      <w:r w:rsidRPr="006A441D">
        <w:rPr>
          <w:rFonts w:ascii="Arial" w:hAnsi="Arial" w:cs="Arial"/>
        </w:rPr>
        <w:t>To comply with legislation, AASB standards for financial records and organisational requirements for cost accounting, etc., the following procedure must be followed.</w:t>
      </w:r>
    </w:p>
    <w:p w14:paraId="6301429B" w14:textId="77777777" w:rsidR="007C5D09" w:rsidRPr="003A6FC2" w:rsidRDefault="007C5D09" w:rsidP="006A441D">
      <w:pPr>
        <w:pStyle w:val="Heading4"/>
        <w:spacing w:before="240" w:after="240" w:line="360" w:lineRule="auto"/>
        <w:rPr>
          <w:rFonts w:ascii="Arial" w:hAnsi="Arial" w:cs="Arial"/>
          <w:color w:val="auto"/>
        </w:rPr>
      </w:pPr>
      <w:r w:rsidRPr="003A6FC2">
        <w:rPr>
          <w:rFonts w:ascii="Arial" w:hAnsi="Arial" w:cs="Arial"/>
          <w:color w:val="auto"/>
        </w:rPr>
        <w:t>To process payroll (</w:t>
      </w:r>
      <w:r w:rsidR="00994CE4" w:rsidRPr="003A6FC2">
        <w:rPr>
          <w:rFonts w:ascii="Arial" w:hAnsi="Arial" w:cs="Arial"/>
          <w:color w:val="auto"/>
        </w:rPr>
        <w:t>Café</w:t>
      </w:r>
      <w:r w:rsidRPr="003A6FC2">
        <w:rPr>
          <w:rFonts w:ascii="Arial" w:hAnsi="Arial" w:cs="Arial"/>
          <w:color w:val="auto"/>
        </w:rPr>
        <w:t>):</w:t>
      </w:r>
    </w:p>
    <w:p w14:paraId="426523CD" w14:textId="77777777" w:rsidR="007C5D09" w:rsidRPr="006A441D" w:rsidRDefault="007C5D09" w:rsidP="006A441D">
      <w:pPr>
        <w:pStyle w:val="ListNumber"/>
        <w:numPr>
          <w:ilvl w:val="0"/>
          <w:numId w:val="6"/>
        </w:numPr>
        <w:spacing w:before="240" w:after="240" w:line="360" w:lineRule="auto"/>
        <w:rPr>
          <w:rFonts w:ascii="Arial" w:hAnsi="Arial" w:cs="Arial"/>
          <w:szCs w:val="22"/>
        </w:rPr>
      </w:pPr>
      <w:r w:rsidRPr="006A441D">
        <w:rPr>
          <w:rFonts w:ascii="Arial" w:hAnsi="Arial" w:cs="Arial"/>
          <w:szCs w:val="22"/>
        </w:rPr>
        <w:t>Verify employee details</w:t>
      </w:r>
      <w:r w:rsidR="00DB491C">
        <w:rPr>
          <w:rFonts w:ascii="Arial" w:hAnsi="Arial" w:cs="Arial"/>
          <w:szCs w:val="22"/>
        </w:rPr>
        <w:t>,</w:t>
      </w:r>
    </w:p>
    <w:p w14:paraId="3D1B541A" w14:textId="77777777" w:rsidR="007C5D09" w:rsidRPr="006A441D" w:rsidRDefault="007C5D09" w:rsidP="006A441D">
      <w:pPr>
        <w:pStyle w:val="ListNumber"/>
        <w:numPr>
          <w:ilvl w:val="0"/>
          <w:numId w:val="6"/>
        </w:numPr>
        <w:spacing w:before="240" w:after="240" w:line="360" w:lineRule="auto"/>
        <w:rPr>
          <w:rFonts w:ascii="Arial" w:hAnsi="Arial" w:cs="Arial"/>
          <w:szCs w:val="22"/>
        </w:rPr>
      </w:pPr>
      <w:r w:rsidRPr="006A441D">
        <w:rPr>
          <w:rFonts w:ascii="Arial" w:hAnsi="Arial" w:cs="Arial"/>
          <w:bCs/>
          <w:szCs w:val="22"/>
        </w:rPr>
        <w:t>Obtain approval of changes and</w:t>
      </w:r>
      <w:r w:rsidRPr="006A441D">
        <w:rPr>
          <w:rFonts w:ascii="Arial" w:hAnsi="Arial" w:cs="Arial"/>
          <w:szCs w:val="22"/>
        </w:rPr>
        <w:t xml:space="preserve"> </w:t>
      </w:r>
      <w:r w:rsidRPr="006A441D">
        <w:rPr>
          <w:rFonts w:ascii="Arial" w:hAnsi="Arial" w:cs="Arial"/>
          <w:bCs/>
          <w:szCs w:val="22"/>
        </w:rPr>
        <w:t xml:space="preserve">deductions (requires </w:t>
      </w:r>
      <w:r w:rsidR="00994CE4" w:rsidRPr="006A441D">
        <w:rPr>
          <w:rFonts w:ascii="Arial" w:hAnsi="Arial" w:cs="Arial"/>
          <w:bCs/>
          <w:szCs w:val="22"/>
        </w:rPr>
        <w:t xml:space="preserve">café </w:t>
      </w:r>
      <w:r w:rsidRPr="006A441D">
        <w:rPr>
          <w:rFonts w:ascii="Arial" w:hAnsi="Arial" w:cs="Arial"/>
          <w:bCs/>
          <w:szCs w:val="22"/>
        </w:rPr>
        <w:t>manager approval)</w:t>
      </w:r>
      <w:r w:rsidR="00DB491C">
        <w:rPr>
          <w:rFonts w:ascii="Arial" w:hAnsi="Arial" w:cs="Arial"/>
          <w:bCs/>
          <w:szCs w:val="22"/>
        </w:rPr>
        <w:t>,</w:t>
      </w:r>
    </w:p>
    <w:p w14:paraId="5C76411C" w14:textId="77777777" w:rsidR="007C5D09" w:rsidRPr="006A441D" w:rsidRDefault="007C5D09" w:rsidP="006A441D">
      <w:pPr>
        <w:pStyle w:val="ListNumber"/>
        <w:numPr>
          <w:ilvl w:val="0"/>
          <w:numId w:val="6"/>
        </w:numPr>
        <w:spacing w:before="240" w:after="240" w:line="360" w:lineRule="auto"/>
        <w:rPr>
          <w:rFonts w:ascii="Arial" w:hAnsi="Arial" w:cs="Arial"/>
          <w:szCs w:val="22"/>
        </w:rPr>
      </w:pPr>
      <w:r w:rsidRPr="006A441D">
        <w:rPr>
          <w:rFonts w:ascii="Arial" w:hAnsi="Arial" w:cs="Arial"/>
          <w:szCs w:val="22"/>
        </w:rPr>
        <w:t xml:space="preserve">Obtain approval of overtime (requires </w:t>
      </w:r>
      <w:r w:rsidR="00994CE4" w:rsidRPr="006A441D">
        <w:rPr>
          <w:rFonts w:ascii="Arial" w:hAnsi="Arial" w:cs="Arial"/>
          <w:szCs w:val="22"/>
        </w:rPr>
        <w:t xml:space="preserve">café </w:t>
      </w:r>
      <w:r w:rsidRPr="006A441D">
        <w:rPr>
          <w:rFonts w:ascii="Arial" w:hAnsi="Arial" w:cs="Arial"/>
          <w:szCs w:val="22"/>
        </w:rPr>
        <w:t>manager approval)</w:t>
      </w:r>
      <w:r w:rsidR="00DB491C">
        <w:rPr>
          <w:rFonts w:ascii="Arial" w:hAnsi="Arial" w:cs="Arial"/>
          <w:szCs w:val="22"/>
        </w:rPr>
        <w:t>,</w:t>
      </w:r>
    </w:p>
    <w:p w14:paraId="3FACBCF1" w14:textId="77777777" w:rsidR="007C5D09" w:rsidRPr="006A441D" w:rsidRDefault="007C5D09" w:rsidP="006A441D">
      <w:pPr>
        <w:pStyle w:val="ListNumber"/>
        <w:numPr>
          <w:ilvl w:val="0"/>
          <w:numId w:val="6"/>
        </w:numPr>
        <w:spacing w:before="240" w:after="240" w:line="360" w:lineRule="auto"/>
        <w:rPr>
          <w:rFonts w:ascii="Arial" w:hAnsi="Arial" w:cs="Arial"/>
          <w:szCs w:val="22"/>
        </w:rPr>
      </w:pPr>
      <w:r w:rsidRPr="006A441D">
        <w:rPr>
          <w:rFonts w:ascii="Arial" w:hAnsi="Arial" w:cs="Arial"/>
          <w:bCs/>
          <w:szCs w:val="22"/>
        </w:rPr>
        <w:t>Verify the hours worked</w:t>
      </w:r>
      <w:r w:rsidR="00DB491C">
        <w:rPr>
          <w:rFonts w:ascii="Arial" w:hAnsi="Arial" w:cs="Arial"/>
          <w:bCs/>
          <w:szCs w:val="22"/>
        </w:rPr>
        <w:t>,</w:t>
      </w:r>
    </w:p>
    <w:p w14:paraId="60D9475C" w14:textId="77777777" w:rsidR="007C5D09" w:rsidRPr="006A441D" w:rsidRDefault="007C5D09" w:rsidP="006A441D">
      <w:pPr>
        <w:pStyle w:val="ListNumber"/>
        <w:numPr>
          <w:ilvl w:val="0"/>
          <w:numId w:val="6"/>
        </w:numPr>
        <w:spacing w:before="240" w:after="240" w:line="360" w:lineRule="auto"/>
        <w:rPr>
          <w:rFonts w:ascii="Arial" w:hAnsi="Arial" w:cs="Arial"/>
          <w:szCs w:val="22"/>
        </w:rPr>
      </w:pPr>
      <w:r w:rsidRPr="006A441D">
        <w:rPr>
          <w:rFonts w:ascii="Arial" w:hAnsi="Arial" w:cs="Arial"/>
          <w:bCs/>
          <w:szCs w:val="22"/>
        </w:rPr>
        <w:t>Verify leave (if applicable)</w:t>
      </w:r>
      <w:r w:rsidR="00DB491C">
        <w:rPr>
          <w:rFonts w:ascii="Arial" w:hAnsi="Arial" w:cs="Arial"/>
          <w:bCs/>
          <w:szCs w:val="22"/>
        </w:rPr>
        <w:t>,</w:t>
      </w:r>
    </w:p>
    <w:p w14:paraId="0A937E26" w14:textId="77777777" w:rsidR="007C5D09" w:rsidRPr="006A441D" w:rsidRDefault="007C5D09" w:rsidP="006A441D">
      <w:pPr>
        <w:pStyle w:val="ListNumber"/>
        <w:numPr>
          <w:ilvl w:val="0"/>
          <w:numId w:val="6"/>
        </w:numPr>
        <w:spacing w:before="240" w:after="240" w:line="360" w:lineRule="auto"/>
        <w:rPr>
          <w:rFonts w:ascii="Arial" w:hAnsi="Arial" w:cs="Arial"/>
          <w:szCs w:val="22"/>
        </w:rPr>
      </w:pPr>
      <w:r w:rsidRPr="006A441D">
        <w:rPr>
          <w:rFonts w:ascii="Arial" w:hAnsi="Arial" w:cs="Arial"/>
          <w:bCs/>
          <w:szCs w:val="22"/>
        </w:rPr>
        <w:t>Compile timesheet totals</w:t>
      </w:r>
      <w:r w:rsidR="00DB491C">
        <w:rPr>
          <w:rFonts w:ascii="Arial" w:hAnsi="Arial" w:cs="Arial"/>
          <w:bCs/>
          <w:szCs w:val="22"/>
        </w:rPr>
        <w:t>,</w:t>
      </w:r>
    </w:p>
    <w:p w14:paraId="575B3698" w14:textId="77777777" w:rsidR="007C5D09" w:rsidRPr="006A441D" w:rsidRDefault="007C5D09" w:rsidP="006A441D">
      <w:pPr>
        <w:pStyle w:val="ListNumber"/>
        <w:numPr>
          <w:ilvl w:val="0"/>
          <w:numId w:val="6"/>
        </w:numPr>
        <w:spacing w:before="240" w:after="240" w:line="360" w:lineRule="auto"/>
        <w:rPr>
          <w:rFonts w:ascii="Arial" w:hAnsi="Arial" w:cs="Arial"/>
          <w:szCs w:val="22"/>
        </w:rPr>
      </w:pPr>
      <w:r w:rsidRPr="006A441D">
        <w:rPr>
          <w:rFonts w:ascii="Arial" w:hAnsi="Arial" w:cs="Arial"/>
          <w:bCs/>
          <w:szCs w:val="22"/>
        </w:rPr>
        <w:t>Calculate wages due</w:t>
      </w:r>
      <w:r w:rsidR="00DB491C">
        <w:rPr>
          <w:rFonts w:ascii="Arial" w:hAnsi="Arial" w:cs="Arial"/>
          <w:bCs/>
          <w:szCs w:val="22"/>
        </w:rPr>
        <w:t>,</w:t>
      </w:r>
    </w:p>
    <w:p w14:paraId="614A474C" w14:textId="77777777" w:rsidR="007C5D09" w:rsidRPr="006A441D" w:rsidRDefault="007C5D09" w:rsidP="006A441D">
      <w:pPr>
        <w:pStyle w:val="ListNumber"/>
        <w:numPr>
          <w:ilvl w:val="0"/>
          <w:numId w:val="6"/>
        </w:numPr>
        <w:spacing w:before="240" w:after="240" w:line="360" w:lineRule="auto"/>
        <w:rPr>
          <w:rFonts w:ascii="Arial" w:hAnsi="Arial" w:cs="Arial"/>
          <w:szCs w:val="22"/>
        </w:rPr>
      </w:pPr>
      <w:r w:rsidRPr="006A441D">
        <w:rPr>
          <w:rFonts w:ascii="Arial" w:hAnsi="Arial" w:cs="Arial"/>
          <w:bCs/>
          <w:szCs w:val="22"/>
        </w:rPr>
        <w:t>Calculate tax withholding</w:t>
      </w:r>
      <w:r w:rsidR="00DB491C">
        <w:rPr>
          <w:rFonts w:ascii="Arial" w:hAnsi="Arial" w:cs="Arial"/>
          <w:bCs/>
          <w:szCs w:val="22"/>
        </w:rPr>
        <w:t>,</w:t>
      </w:r>
    </w:p>
    <w:p w14:paraId="799E25E4" w14:textId="77777777" w:rsidR="007C5D09" w:rsidRPr="006A441D" w:rsidRDefault="007C5D09" w:rsidP="006A441D">
      <w:pPr>
        <w:pStyle w:val="ListNumber"/>
        <w:numPr>
          <w:ilvl w:val="0"/>
          <w:numId w:val="6"/>
        </w:numPr>
        <w:spacing w:before="240" w:after="240" w:line="360" w:lineRule="auto"/>
        <w:rPr>
          <w:rFonts w:ascii="Arial" w:hAnsi="Arial" w:cs="Arial"/>
          <w:szCs w:val="22"/>
        </w:rPr>
      </w:pPr>
      <w:r w:rsidRPr="006A441D">
        <w:rPr>
          <w:rFonts w:ascii="Arial" w:hAnsi="Arial" w:cs="Arial"/>
          <w:bCs/>
          <w:szCs w:val="22"/>
        </w:rPr>
        <w:t>Generate payroll register</w:t>
      </w:r>
      <w:r w:rsidR="00DB491C">
        <w:rPr>
          <w:rFonts w:ascii="Arial" w:hAnsi="Arial" w:cs="Arial"/>
          <w:bCs/>
          <w:szCs w:val="22"/>
        </w:rPr>
        <w:t>,</w:t>
      </w:r>
    </w:p>
    <w:p w14:paraId="4320A2A0" w14:textId="77777777" w:rsidR="007C5D09" w:rsidRPr="006A441D" w:rsidRDefault="007C5D09" w:rsidP="006A441D">
      <w:pPr>
        <w:pStyle w:val="ListNumber"/>
        <w:numPr>
          <w:ilvl w:val="0"/>
          <w:numId w:val="6"/>
        </w:numPr>
        <w:spacing w:before="240" w:after="240" w:line="360" w:lineRule="auto"/>
        <w:rPr>
          <w:rFonts w:ascii="Arial" w:hAnsi="Arial" w:cs="Arial"/>
          <w:szCs w:val="22"/>
        </w:rPr>
      </w:pPr>
      <w:r w:rsidRPr="006A441D">
        <w:rPr>
          <w:rFonts w:ascii="Arial" w:hAnsi="Arial" w:cs="Arial"/>
          <w:szCs w:val="22"/>
        </w:rPr>
        <w:t>Forward individual pay information and payroll register to the</w:t>
      </w:r>
      <w:r w:rsidR="00FF79CC" w:rsidRPr="006A441D">
        <w:rPr>
          <w:rFonts w:ascii="Arial" w:hAnsi="Arial" w:cs="Arial"/>
          <w:szCs w:val="22"/>
        </w:rPr>
        <w:t xml:space="preserve"> GRCG</w:t>
      </w:r>
      <w:r w:rsidRPr="006A441D">
        <w:rPr>
          <w:rFonts w:ascii="Arial" w:hAnsi="Arial" w:cs="Arial"/>
          <w:szCs w:val="22"/>
        </w:rPr>
        <w:t xml:space="preserve"> head office.</w:t>
      </w:r>
    </w:p>
    <w:p w14:paraId="560BA545" w14:textId="77777777" w:rsidR="007C5D09" w:rsidRPr="003A6FC2" w:rsidRDefault="007C5D09" w:rsidP="006A441D">
      <w:pPr>
        <w:pStyle w:val="Heading4"/>
        <w:spacing w:before="240" w:after="240" w:line="360" w:lineRule="auto"/>
        <w:rPr>
          <w:rFonts w:ascii="Arial" w:hAnsi="Arial" w:cs="Arial"/>
          <w:color w:val="auto"/>
        </w:rPr>
      </w:pPr>
      <w:r w:rsidRPr="003A6FC2">
        <w:rPr>
          <w:rFonts w:ascii="Arial" w:hAnsi="Arial" w:cs="Arial"/>
          <w:color w:val="auto"/>
        </w:rPr>
        <w:t>To process payroll (</w:t>
      </w:r>
      <w:r w:rsidR="00CE3C19" w:rsidRPr="003A6FC2">
        <w:rPr>
          <w:rFonts w:ascii="Arial" w:hAnsi="Arial" w:cs="Arial"/>
          <w:color w:val="auto"/>
        </w:rPr>
        <w:t>B</w:t>
      </w:r>
      <w:r w:rsidR="00FF79CC" w:rsidRPr="003A6FC2">
        <w:rPr>
          <w:rFonts w:ascii="Arial" w:hAnsi="Arial" w:cs="Arial"/>
          <w:color w:val="auto"/>
        </w:rPr>
        <w:t xml:space="preserve">CG </w:t>
      </w:r>
      <w:r w:rsidRPr="003A6FC2">
        <w:rPr>
          <w:rFonts w:ascii="Arial" w:hAnsi="Arial" w:cs="Arial"/>
          <w:color w:val="auto"/>
        </w:rPr>
        <w:t>head office):</w:t>
      </w:r>
    </w:p>
    <w:p w14:paraId="17D03D68" w14:textId="77777777" w:rsidR="007C5D09" w:rsidRPr="006A441D" w:rsidRDefault="007C5D09" w:rsidP="006A441D">
      <w:pPr>
        <w:pStyle w:val="ListNumber"/>
        <w:numPr>
          <w:ilvl w:val="0"/>
          <w:numId w:val="7"/>
        </w:numPr>
        <w:spacing w:before="240" w:after="240" w:line="360" w:lineRule="auto"/>
        <w:rPr>
          <w:rFonts w:ascii="Arial" w:hAnsi="Arial" w:cs="Arial"/>
          <w:szCs w:val="22"/>
        </w:rPr>
      </w:pPr>
      <w:r w:rsidRPr="006A441D">
        <w:rPr>
          <w:rFonts w:ascii="Arial" w:hAnsi="Arial" w:cs="Arial"/>
          <w:szCs w:val="22"/>
        </w:rPr>
        <w:t>Reconcile register against calculated pay and employee data</w:t>
      </w:r>
      <w:r w:rsidR="001835E5">
        <w:rPr>
          <w:rFonts w:ascii="Arial" w:hAnsi="Arial" w:cs="Arial"/>
          <w:szCs w:val="22"/>
        </w:rPr>
        <w:t>,</w:t>
      </w:r>
    </w:p>
    <w:p w14:paraId="2AD0837E" w14:textId="77777777" w:rsidR="007C5D09" w:rsidRPr="006A441D" w:rsidRDefault="007C5D09" w:rsidP="006A441D">
      <w:pPr>
        <w:pStyle w:val="ListNumber"/>
        <w:numPr>
          <w:ilvl w:val="0"/>
          <w:numId w:val="7"/>
        </w:numPr>
        <w:spacing w:before="240" w:after="240" w:line="360" w:lineRule="auto"/>
        <w:rPr>
          <w:rFonts w:ascii="Arial" w:hAnsi="Arial" w:cs="Arial"/>
          <w:szCs w:val="22"/>
        </w:rPr>
      </w:pPr>
      <w:r w:rsidRPr="006A441D">
        <w:rPr>
          <w:rFonts w:ascii="Arial" w:hAnsi="Arial" w:cs="Arial"/>
          <w:szCs w:val="22"/>
        </w:rPr>
        <w:t>Arrange payments</w:t>
      </w:r>
      <w:r w:rsidR="001835E5">
        <w:rPr>
          <w:rFonts w:ascii="Arial" w:hAnsi="Arial" w:cs="Arial"/>
          <w:szCs w:val="22"/>
        </w:rPr>
        <w:t>,</w:t>
      </w:r>
    </w:p>
    <w:p w14:paraId="1C5141E8" w14:textId="77777777" w:rsidR="007C5D09" w:rsidRPr="006A441D" w:rsidRDefault="007C5D09" w:rsidP="006A441D">
      <w:pPr>
        <w:pStyle w:val="ListNumber"/>
        <w:numPr>
          <w:ilvl w:val="0"/>
          <w:numId w:val="7"/>
        </w:numPr>
        <w:spacing w:before="240" w:after="240" w:line="360" w:lineRule="auto"/>
        <w:rPr>
          <w:rFonts w:ascii="Arial" w:hAnsi="Arial" w:cs="Arial"/>
          <w:szCs w:val="22"/>
        </w:rPr>
      </w:pPr>
      <w:r w:rsidRPr="006A441D">
        <w:rPr>
          <w:rFonts w:ascii="Arial" w:hAnsi="Arial" w:cs="Arial"/>
          <w:szCs w:val="22"/>
        </w:rPr>
        <w:t>Post journal entries in accounting system (MYOB AccountRight)</w:t>
      </w:r>
      <w:r w:rsidR="001835E5">
        <w:rPr>
          <w:rFonts w:ascii="Arial" w:hAnsi="Arial" w:cs="Arial"/>
          <w:szCs w:val="22"/>
        </w:rPr>
        <w:t>,</w:t>
      </w:r>
    </w:p>
    <w:p w14:paraId="745A1F8B" w14:textId="77777777" w:rsidR="007C5D09" w:rsidRPr="006A441D" w:rsidRDefault="007C5D09" w:rsidP="006A441D">
      <w:pPr>
        <w:pStyle w:val="ListNumber"/>
        <w:numPr>
          <w:ilvl w:val="0"/>
          <w:numId w:val="7"/>
        </w:numPr>
        <w:spacing w:before="240" w:after="240" w:line="360" w:lineRule="auto"/>
        <w:rPr>
          <w:rFonts w:ascii="Arial" w:hAnsi="Arial" w:cs="Arial"/>
          <w:szCs w:val="22"/>
        </w:rPr>
      </w:pPr>
      <w:r w:rsidRPr="006A441D">
        <w:rPr>
          <w:rFonts w:ascii="Arial" w:hAnsi="Arial" w:cs="Arial"/>
          <w:szCs w:val="22"/>
        </w:rPr>
        <w:t>Arrange PAYG payments to the ATO</w:t>
      </w:r>
      <w:r w:rsidR="001835E5">
        <w:rPr>
          <w:rFonts w:ascii="Arial" w:hAnsi="Arial" w:cs="Arial"/>
          <w:szCs w:val="22"/>
        </w:rPr>
        <w:t>,</w:t>
      </w:r>
    </w:p>
    <w:p w14:paraId="40791587" w14:textId="77777777" w:rsidR="007C5D09" w:rsidRPr="006A441D" w:rsidRDefault="007C5D09" w:rsidP="006A441D">
      <w:pPr>
        <w:pStyle w:val="ListNumber"/>
        <w:numPr>
          <w:ilvl w:val="0"/>
          <w:numId w:val="7"/>
        </w:numPr>
        <w:spacing w:before="240" w:after="240" w:line="360" w:lineRule="auto"/>
        <w:rPr>
          <w:rFonts w:ascii="Arial" w:hAnsi="Arial" w:cs="Arial"/>
          <w:szCs w:val="22"/>
        </w:rPr>
      </w:pPr>
      <w:r w:rsidRPr="006A441D">
        <w:rPr>
          <w:rFonts w:ascii="Arial" w:hAnsi="Arial" w:cs="Arial"/>
          <w:szCs w:val="22"/>
        </w:rPr>
        <w:t>Arrange forwarding of other deducted payments.</w:t>
      </w:r>
    </w:p>
    <w:sectPr w:rsidR="007C5D09" w:rsidRPr="006A441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A7306" w14:textId="77777777" w:rsidR="00EA0051" w:rsidRDefault="00EA0051" w:rsidP="00952FA3">
      <w:pPr>
        <w:spacing w:after="0" w:line="240" w:lineRule="auto"/>
      </w:pPr>
      <w:r>
        <w:separator/>
      </w:r>
    </w:p>
  </w:endnote>
  <w:endnote w:type="continuationSeparator" w:id="0">
    <w:p w14:paraId="6D99C3EA" w14:textId="77777777" w:rsidR="00EA0051" w:rsidRDefault="00EA0051" w:rsidP="00952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A2FC5" w14:textId="77777777" w:rsidR="00F32B9F" w:rsidRDefault="00F32B9F" w:rsidP="00F32B9F">
    <w:pPr>
      <w:tabs>
        <w:tab w:val="center" w:pos="4513"/>
        <w:tab w:val="right" w:pos="9026"/>
      </w:tabs>
      <w:spacing w:after="240" w:line="360" w:lineRule="auto"/>
      <w:rPr>
        <w:rFonts w:ascii="Arial" w:eastAsiaTheme="minorEastAsia" w:hAnsi="Arial" w:cs="Arial"/>
        <w:sz w:val="20"/>
        <w:szCs w:val="20"/>
      </w:rPr>
    </w:pPr>
  </w:p>
  <w:p w14:paraId="47177494" w14:textId="77777777" w:rsidR="00F32B9F" w:rsidRDefault="00F32B9F" w:rsidP="00F32B9F">
    <w:pPr>
      <w:tabs>
        <w:tab w:val="center" w:pos="4513"/>
        <w:tab w:val="right" w:pos="9026"/>
      </w:tabs>
      <w:spacing w:after="240" w:line="360" w:lineRule="auto"/>
      <w:rPr>
        <w:rFonts w:ascii="Arial" w:eastAsiaTheme="minorEastAsia" w:hAnsi="Arial" w:cs="Arial"/>
        <w:sz w:val="20"/>
        <w:szCs w:val="20"/>
      </w:rPr>
    </w:pPr>
    <w:r w:rsidRPr="00F32B9F">
      <w:rPr>
        <w:rFonts w:ascii="Arial" w:eastAsiaTheme="minorEastAsia" w:hAnsi="Arial" w:cs="Arial"/>
        <w:sz w:val="20"/>
        <w:szCs w:val="20"/>
      </w:rPr>
      <w:t>©201</w:t>
    </w:r>
    <w:r>
      <w:rPr>
        <w:rFonts w:ascii="Arial" w:eastAsiaTheme="minorEastAsia" w:hAnsi="Arial" w:cs="Arial"/>
        <w:sz w:val="20"/>
        <w:szCs w:val="20"/>
      </w:rPr>
      <w:t>9</w:t>
    </w:r>
    <w:r w:rsidRPr="00F32B9F">
      <w:rPr>
        <w:rFonts w:ascii="Arial" w:eastAsiaTheme="minorEastAsia" w:hAnsi="Arial" w:cs="Arial"/>
        <w:sz w:val="20"/>
        <w:szCs w:val="20"/>
      </w:rPr>
      <w:t xml:space="preserve"> College for Adult Learning TOID 22228</w:t>
    </w:r>
    <w:r w:rsidRPr="00F32B9F">
      <w:rPr>
        <w:rFonts w:ascii="Arial" w:eastAsiaTheme="minorEastAsia" w:hAnsi="Arial" w:cs="Arial"/>
        <w:sz w:val="20"/>
        <w:szCs w:val="20"/>
      </w:rPr>
      <w:tab/>
    </w:r>
    <w:r w:rsidR="009E5BDB">
      <w:rPr>
        <w:rFonts w:ascii="Arial" w:eastAsiaTheme="minorEastAsia" w:hAnsi="Arial" w:cs="Arial"/>
        <w:sz w:val="20"/>
        <w:szCs w:val="20"/>
      </w:rPr>
      <w:tab/>
    </w:r>
    <w:r w:rsidRPr="00F32B9F">
      <w:rPr>
        <w:rFonts w:ascii="Arial" w:eastAsiaTheme="minorEastAsia" w:hAnsi="Arial" w:cs="Arial"/>
        <w:sz w:val="20"/>
        <w:szCs w:val="20"/>
      </w:rPr>
      <w:t xml:space="preserve">Page </w:t>
    </w:r>
    <w:r w:rsidRPr="00F32B9F">
      <w:rPr>
        <w:rFonts w:ascii="Arial" w:eastAsiaTheme="minorEastAsia" w:hAnsi="Arial" w:cs="Arial"/>
        <w:b/>
        <w:bCs/>
        <w:sz w:val="20"/>
        <w:szCs w:val="20"/>
      </w:rPr>
      <w:fldChar w:fldCharType="begin"/>
    </w:r>
    <w:r w:rsidRPr="00F32B9F">
      <w:rPr>
        <w:rFonts w:ascii="Arial" w:eastAsiaTheme="minorEastAsia" w:hAnsi="Arial" w:cs="Arial"/>
        <w:b/>
        <w:bCs/>
        <w:sz w:val="20"/>
        <w:szCs w:val="20"/>
      </w:rPr>
      <w:instrText xml:space="preserve"> PAGE </w:instrText>
    </w:r>
    <w:r w:rsidRPr="00F32B9F">
      <w:rPr>
        <w:rFonts w:ascii="Arial" w:eastAsiaTheme="minorEastAsia" w:hAnsi="Arial" w:cs="Arial"/>
        <w:b/>
        <w:bCs/>
        <w:sz w:val="20"/>
        <w:szCs w:val="20"/>
      </w:rPr>
      <w:fldChar w:fldCharType="separate"/>
    </w:r>
    <w:r w:rsidRPr="00F32B9F">
      <w:rPr>
        <w:rFonts w:ascii="Arial" w:eastAsiaTheme="minorEastAsia" w:hAnsi="Arial" w:cs="Arial"/>
        <w:b/>
        <w:bCs/>
        <w:sz w:val="20"/>
        <w:szCs w:val="20"/>
      </w:rPr>
      <w:t>1</w:t>
    </w:r>
    <w:r w:rsidRPr="00F32B9F">
      <w:rPr>
        <w:rFonts w:ascii="Arial" w:eastAsiaTheme="minorEastAsia" w:hAnsi="Arial" w:cs="Arial"/>
        <w:b/>
        <w:bCs/>
        <w:sz w:val="20"/>
        <w:szCs w:val="20"/>
      </w:rPr>
      <w:fldChar w:fldCharType="end"/>
    </w:r>
    <w:r w:rsidRPr="00F32B9F">
      <w:rPr>
        <w:rFonts w:ascii="Arial" w:eastAsiaTheme="minorEastAsia" w:hAnsi="Arial" w:cs="Arial"/>
        <w:sz w:val="20"/>
        <w:szCs w:val="20"/>
      </w:rPr>
      <w:t xml:space="preserve"> of </w:t>
    </w:r>
    <w:r w:rsidRPr="00F32B9F">
      <w:rPr>
        <w:rFonts w:ascii="Arial" w:eastAsiaTheme="minorEastAsia" w:hAnsi="Arial" w:cs="Arial"/>
        <w:b/>
        <w:bCs/>
        <w:sz w:val="20"/>
        <w:szCs w:val="20"/>
      </w:rPr>
      <w:fldChar w:fldCharType="begin"/>
    </w:r>
    <w:r w:rsidRPr="00F32B9F">
      <w:rPr>
        <w:rFonts w:ascii="Arial" w:eastAsiaTheme="minorEastAsia" w:hAnsi="Arial" w:cs="Arial"/>
        <w:b/>
        <w:bCs/>
        <w:sz w:val="20"/>
        <w:szCs w:val="20"/>
      </w:rPr>
      <w:instrText xml:space="preserve"> NUMPAGES  </w:instrText>
    </w:r>
    <w:r w:rsidRPr="00F32B9F">
      <w:rPr>
        <w:rFonts w:ascii="Arial" w:eastAsiaTheme="minorEastAsia" w:hAnsi="Arial" w:cs="Arial"/>
        <w:b/>
        <w:bCs/>
        <w:sz w:val="20"/>
        <w:szCs w:val="20"/>
      </w:rPr>
      <w:fldChar w:fldCharType="separate"/>
    </w:r>
    <w:r w:rsidRPr="00F32B9F">
      <w:rPr>
        <w:rFonts w:ascii="Arial" w:eastAsiaTheme="minorEastAsia" w:hAnsi="Arial" w:cs="Arial"/>
        <w:b/>
        <w:bCs/>
        <w:sz w:val="20"/>
        <w:szCs w:val="20"/>
      </w:rPr>
      <w:t>5</w:t>
    </w:r>
    <w:r w:rsidRPr="00F32B9F">
      <w:rPr>
        <w:rFonts w:ascii="Arial" w:eastAsiaTheme="minorEastAsia" w:hAnsi="Arial" w:cs="Arial"/>
        <w:b/>
        <w:bCs/>
        <w:sz w:val="20"/>
        <w:szCs w:val="20"/>
      </w:rPr>
      <w:fldChar w:fldCharType="end"/>
    </w:r>
  </w:p>
  <w:p w14:paraId="69E02DB3" w14:textId="77777777" w:rsidR="00E70DC7" w:rsidRPr="00F32B9F" w:rsidRDefault="00F32B9F" w:rsidP="00F32B9F">
    <w:pPr>
      <w:tabs>
        <w:tab w:val="center" w:pos="4513"/>
        <w:tab w:val="right" w:pos="9026"/>
      </w:tabs>
      <w:spacing w:after="240" w:line="360" w:lineRule="auto"/>
      <w:jc w:val="center"/>
      <w:rPr>
        <w:rFonts w:ascii="Arial" w:eastAsiaTheme="minorEastAsia" w:hAnsi="Arial" w:cs="Arial"/>
        <w:sz w:val="20"/>
        <w:szCs w:val="20"/>
      </w:rPr>
    </w:pPr>
    <w:r w:rsidRPr="00F32B9F">
      <w:rPr>
        <w:rFonts w:ascii="Arial" w:eastAsiaTheme="minorEastAsia" w:hAnsi="Arial" w:cs="Arial"/>
        <w:sz w:val="18"/>
        <w:szCs w:val="18"/>
      </w:rPr>
      <w:t xml:space="preserve">John Readings </w:t>
    </w:r>
    <w:r w:rsidR="007E2184">
      <w:rPr>
        <w:rFonts w:ascii="Arial" w:eastAsiaTheme="minorEastAsia" w:hAnsi="Arial" w:cs="Arial"/>
        <w:sz w:val="18"/>
        <w:szCs w:val="18"/>
      </w:rPr>
      <w:t>and BookCafe are</w:t>
    </w:r>
    <w:r w:rsidRPr="00F32B9F">
      <w:rPr>
        <w:rFonts w:ascii="Arial" w:eastAsiaTheme="minorEastAsia" w:hAnsi="Arial" w:cs="Arial"/>
        <w:sz w:val="18"/>
        <w:szCs w:val="18"/>
      </w:rPr>
      <w:t xml:space="preserve"> fictitious </w:t>
    </w:r>
    <w:r w:rsidR="007E2184">
      <w:rPr>
        <w:rFonts w:ascii="Arial" w:eastAsiaTheme="minorEastAsia" w:hAnsi="Arial" w:cs="Arial"/>
        <w:sz w:val="18"/>
        <w:szCs w:val="18"/>
      </w:rPr>
      <w:t>organisations</w:t>
    </w:r>
    <w:r w:rsidRPr="00F32B9F">
      <w:rPr>
        <w:rFonts w:ascii="Arial" w:eastAsiaTheme="minorEastAsia" w:hAnsi="Arial" w:cs="Arial"/>
        <w:sz w:val="18"/>
        <w:szCs w:val="18"/>
      </w:rPr>
      <w:t xml:space="preserve"> created for education and training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13D61" w14:textId="77777777" w:rsidR="00EA0051" w:rsidRDefault="00EA0051" w:rsidP="00952FA3">
      <w:pPr>
        <w:spacing w:after="0" w:line="240" w:lineRule="auto"/>
      </w:pPr>
      <w:r>
        <w:separator/>
      </w:r>
    </w:p>
  </w:footnote>
  <w:footnote w:type="continuationSeparator" w:id="0">
    <w:p w14:paraId="387A744E" w14:textId="77777777" w:rsidR="00EA0051" w:rsidRDefault="00EA0051" w:rsidP="00952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92962" w14:textId="2DE3C45E" w:rsidR="00FC2DB3" w:rsidRPr="006E4FAE" w:rsidRDefault="006E4FAE" w:rsidP="006E4FAE">
    <w:pPr>
      <w:rPr>
        <w:rFonts w:ascii="Arial" w:hAnsi="Arial" w:cs="Arial"/>
        <w:b/>
        <w:bCs/>
        <w:sz w:val="36"/>
        <w:szCs w:val="36"/>
      </w:rPr>
    </w:pPr>
    <w:bookmarkStart w:id="1" w:name="_Toc2616773"/>
    <w:r w:rsidRPr="006E4FAE">
      <w:rPr>
        <w:rFonts w:ascii="Arial" w:hAnsi="Arial" w:cs="Arial"/>
        <w:b/>
        <w:bCs/>
        <w:sz w:val="36"/>
        <w:szCs w:val="36"/>
      </w:rPr>
      <w:drawing>
        <wp:anchor distT="0" distB="0" distL="114300" distR="114300" simplePos="0" relativeHeight="251659264" behindDoc="0" locked="0" layoutInCell="1" allowOverlap="1" wp14:anchorId="1A7A01F9" wp14:editId="55AA65A7">
          <wp:simplePos x="0" y="0"/>
          <wp:positionH relativeFrom="column">
            <wp:posOffset>4969510</wp:posOffset>
          </wp:positionH>
          <wp:positionV relativeFrom="paragraph">
            <wp:posOffset>-232410</wp:posOffset>
          </wp:positionV>
          <wp:extent cx="866775" cy="834390"/>
          <wp:effectExtent l="0" t="0" r="952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e Study BCG Operation.JPG"/>
                  <pic:cNvPicPr/>
                </pic:nvPicPr>
                <pic:blipFill>
                  <a:blip r:embed="rId1">
                    <a:extLst>
                      <a:ext uri="{28A0092B-C50C-407E-A947-70E740481C1C}">
                        <a14:useLocalDpi xmlns:a14="http://schemas.microsoft.com/office/drawing/2010/main" val="0"/>
                      </a:ext>
                    </a:extLst>
                  </a:blip>
                  <a:stretch>
                    <a:fillRect/>
                  </a:stretch>
                </pic:blipFill>
                <pic:spPr>
                  <a:xfrm>
                    <a:off x="0" y="0"/>
                    <a:ext cx="866775" cy="834390"/>
                  </a:xfrm>
                  <a:prstGeom prst="rect">
                    <a:avLst/>
                  </a:prstGeom>
                </pic:spPr>
              </pic:pic>
            </a:graphicData>
          </a:graphic>
          <wp14:sizeRelH relativeFrom="margin">
            <wp14:pctWidth>0</wp14:pctWidth>
          </wp14:sizeRelH>
          <wp14:sizeRelV relativeFrom="margin">
            <wp14:pctHeight>0</wp14:pctHeight>
          </wp14:sizeRelV>
        </wp:anchor>
      </w:drawing>
    </w:r>
    <w:r w:rsidRPr="006E4FAE">
      <w:rPr>
        <w:rFonts w:ascii="Arial" w:hAnsi="Arial" w:cs="Arial"/>
        <w:b/>
        <w:bCs/>
        <w:sz w:val="36"/>
        <w:szCs w:val="36"/>
      </w:rPr>
      <w:t>John Readings</w:t>
    </w:r>
    <w:bookmarkEnd w:id="1"/>
    <w:r w:rsidRPr="006E4FAE">
      <w:rPr>
        <w:rFonts w:ascii="Arial" w:hAnsi="Arial" w:cs="Arial"/>
        <w:b/>
        <w:bCs/>
        <w:sz w:val="36"/>
        <w:szCs w:val="36"/>
      </w:rPr>
      <w:t xml:space="preserve"> </w:t>
    </w:r>
    <w:bookmarkStart w:id="2" w:name="_Toc2616774"/>
    <w:proofErr w:type="spellStart"/>
    <w:r w:rsidRPr="006E4FAE">
      <w:rPr>
        <w:rFonts w:ascii="Arial" w:hAnsi="Arial" w:cs="Arial"/>
        <w:b/>
        <w:bCs/>
        <w:sz w:val="36"/>
        <w:szCs w:val="36"/>
      </w:rPr>
      <w:t>BookCafé</w:t>
    </w:r>
    <w:bookmarkEnd w:id="2"/>
    <w:proofErr w:type="spellEnd"/>
  </w:p>
  <w:p w14:paraId="43E55258" w14:textId="77777777" w:rsidR="00FC2DB3" w:rsidRDefault="00FC2DB3">
    <w:pPr>
      <w:pStyle w:val="Header"/>
    </w:pPr>
  </w:p>
  <w:p w14:paraId="4F94C738" w14:textId="77777777" w:rsidR="00FC2DB3" w:rsidRDefault="00FC2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0EA7A34"/>
    <w:lvl w:ilvl="0">
      <w:start w:val="1"/>
      <w:numFmt w:val="decimal"/>
      <w:pStyle w:val="ListNumber"/>
      <w:lvlText w:val="%1."/>
      <w:lvlJc w:val="left"/>
      <w:pPr>
        <w:tabs>
          <w:tab w:val="num" w:pos="360"/>
        </w:tabs>
        <w:ind w:left="360" w:hanging="360"/>
      </w:pPr>
    </w:lvl>
  </w:abstractNum>
  <w:abstractNum w:abstractNumId="1" w15:restartNumberingAfterBreak="0">
    <w:nsid w:val="0DB35092"/>
    <w:multiLevelType w:val="multilevel"/>
    <w:tmpl w:val="8F04077E"/>
    <w:lvl w:ilvl="0">
      <w:start w:val="1"/>
      <w:numFmt w:val="bullet"/>
      <w:pStyle w:val="Bullet1"/>
      <w:lvlText w:val=""/>
      <w:lvlJc w:val="left"/>
      <w:pPr>
        <w:tabs>
          <w:tab w:val="num" w:pos="720"/>
        </w:tabs>
        <w:ind w:left="720" w:hanging="360"/>
      </w:pPr>
      <w:rPr>
        <w:rFonts w:ascii="Symbol" w:hAnsi="Symbol" w:hint="default"/>
        <w:sz w:val="22"/>
      </w:rPr>
    </w:lvl>
    <w:lvl w:ilvl="1">
      <w:start w:val="1"/>
      <w:numFmt w:val="bullet"/>
      <w:pStyle w:val="Bullet2"/>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BE67E8"/>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lvl>
    <w:lvl w:ilvl="4">
      <w:start w:val="1"/>
      <w:numFmt w:val="lowerLetter"/>
      <w:lvlText w:val="(%5)"/>
      <w:lvlJc w:val="left"/>
      <w:pPr>
        <w:ind w:left="2835" w:hanging="283"/>
      </w:pPr>
    </w:lvl>
    <w:lvl w:ilvl="5">
      <w:start w:val="1"/>
      <w:numFmt w:val="lowerRoman"/>
      <w:lvlText w:val="(%6)"/>
      <w:lvlJc w:val="left"/>
      <w:pPr>
        <w:ind w:left="3402" w:hanging="283"/>
      </w:pPr>
    </w:lvl>
    <w:lvl w:ilvl="6">
      <w:start w:val="1"/>
      <w:numFmt w:val="decimal"/>
      <w:lvlText w:val="%7."/>
      <w:lvlJc w:val="left"/>
      <w:pPr>
        <w:ind w:left="3969" w:hanging="283"/>
      </w:pPr>
    </w:lvl>
    <w:lvl w:ilvl="7">
      <w:start w:val="1"/>
      <w:numFmt w:val="lowerLetter"/>
      <w:lvlText w:val="%8."/>
      <w:lvlJc w:val="left"/>
      <w:pPr>
        <w:ind w:left="4536" w:hanging="283"/>
      </w:pPr>
    </w:lvl>
    <w:lvl w:ilvl="8">
      <w:start w:val="1"/>
      <w:numFmt w:val="lowerRoman"/>
      <w:lvlText w:val="%9."/>
      <w:lvlJc w:val="left"/>
      <w:pPr>
        <w:ind w:left="5103" w:hanging="283"/>
      </w:pPr>
    </w:lvl>
  </w:abstractNum>
  <w:abstractNum w:abstractNumId="3" w15:restartNumberingAfterBreak="0">
    <w:nsid w:val="203B37B7"/>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lvl>
    <w:lvl w:ilvl="4">
      <w:start w:val="1"/>
      <w:numFmt w:val="lowerLetter"/>
      <w:lvlText w:val="(%5)"/>
      <w:lvlJc w:val="left"/>
      <w:pPr>
        <w:ind w:left="2835" w:hanging="283"/>
      </w:pPr>
    </w:lvl>
    <w:lvl w:ilvl="5">
      <w:start w:val="1"/>
      <w:numFmt w:val="lowerRoman"/>
      <w:lvlText w:val="(%6)"/>
      <w:lvlJc w:val="left"/>
      <w:pPr>
        <w:ind w:left="3402" w:hanging="283"/>
      </w:pPr>
    </w:lvl>
    <w:lvl w:ilvl="6">
      <w:start w:val="1"/>
      <w:numFmt w:val="decimal"/>
      <w:lvlText w:val="%7."/>
      <w:lvlJc w:val="left"/>
      <w:pPr>
        <w:ind w:left="3969" w:hanging="283"/>
      </w:pPr>
    </w:lvl>
    <w:lvl w:ilvl="7">
      <w:start w:val="1"/>
      <w:numFmt w:val="lowerLetter"/>
      <w:lvlText w:val="%8."/>
      <w:lvlJc w:val="left"/>
      <w:pPr>
        <w:ind w:left="4536" w:hanging="283"/>
      </w:pPr>
    </w:lvl>
    <w:lvl w:ilvl="8">
      <w:start w:val="1"/>
      <w:numFmt w:val="lowerRoman"/>
      <w:lvlText w:val="%9."/>
      <w:lvlJc w:val="left"/>
      <w:pPr>
        <w:ind w:left="5103" w:hanging="283"/>
      </w:pPr>
    </w:lvl>
  </w:abstractNum>
  <w:abstractNum w:abstractNumId="4" w15:restartNumberingAfterBreak="0">
    <w:nsid w:val="27412067"/>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lvl>
    <w:lvl w:ilvl="4">
      <w:start w:val="1"/>
      <w:numFmt w:val="lowerLetter"/>
      <w:lvlText w:val="(%5)"/>
      <w:lvlJc w:val="left"/>
      <w:pPr>
        <w:ind w:left="2835" w:hanging="283"/>
      </w:pPr>
    </w:lvl>
    <w:lvl w:ilvl="5">
      <w:start w:val="1"/>
      <w:numFmt w:val="lowerRoman"/>
      <w:lvlText w:val="(%6)"/>
      <w:lvlJc w:val="left"/>
      <w:pPr>
        <w:ind w:left="3402" w:hanging="283"/>
      </w:pPr>
    </w:lvl>
    <w:lvl w:ilvl="6">
      <w:start w:val="1"/>
      <w:numFmt w:val="decimal"/>
      <w:lvlText w:val="%7."/>
      <w:lvlJc w:val="left"/>
      <w:pPr>
        <w:ind w:left="3969" w:hanging="283"/>
      </w:pPr>
    </w:lvl>
    <w:lvl w:ilvl="7">
      <w:start w:val="1"/>
      <w:numFmt w:val="lowerLetter"/>
      <w:lvlText w:val="%8."/>
      <w:lvlJc w:val="left"/>
      <w:pPr>
        <w:ind w:left="4536" w:hanging="283"/>
      </w:pPr>
    </w:lvl>
    <w:lvl w:ilvl="8">
      <w:start w:val="1"/>
      <w:numFmt w:val="lowerRoman"/>
      <w:lvlText w:val="%9."/>
      <w:lvlJc w:val="left"/>
      <w:pPr>
        <w:ind w:left="5103" w:hanging="283"/>
      </w:pPr>
    </w:lvl>
  </w:abstractNum>
  <w:abstractNum w:abstractNumId="5" w15:restartNumberingAfterBreak="0">
    <w:nsid w:val="63237171"/>
    <w:multiLevelType w:val="multilevel"/>
    <w:tmpl w:val="55065CF0"/>
    <w:lvl w:ilvl="0">
      <w:start w:val="1"/>
      <w:numFmt w:val="decimal"/>
      <w:lvlText w:val="%1."/>
      <w:lvlJc w:val="center"/>
      <w:pPr>
        <w:tabs>
          <w:tab w:val="num" w:pos="284"/>
        </w:tabs>
        <w:ind w:left="567" w:hanging="283"/>
      </w:pPr>
    </w:lvl>
    <w:lvl w:ilvl="1">
      <w:start w:val="1"/>
      <w:numFmt w:val="lowerLetter"/>
      <w:lvlText w:val="%2."/>
      <w:lvlJc w:val="center"/>
      <w:pPr>
        <w:tabs>
          <w:tab w:val="num" w:pos="1135"/>
        </w:tabs>
        <w:ind w:left="1134" w:hanging="283"/>
      </w:pPr>
    </w:lvl>
    <w:lvl w:ilvl="2">
      <w:start w:val="1"/>
      <w:numFmt w:val="lowerRoman"/>
      <w:lvlText w:val="%3."/>
      <w:lvlJc w:val="center"/>
      <w:pPr>
        <w:tabs>
          <w:tab w:val="num" w:pos="1701"/>
        </w:tabs>
        <w:ind w:left="1701" w:hanging="283"/>
      </w:pPr>
    </w:lvl>
    <w:lvl w:ilvl="3">
      <w:start w:val="1"/>
      <w:numFmt w:val="decimal"/>
      <w:lvlText w:val="(%4)"/>
      <w:lvlJc w:val="left"/>
      <w:pPr>
        <w:tabs>
          <w:tab w:val="num" w:pos="2837"/>
        </w:tabs>
        <w:ind w:left="3120" w:hanging="283"/>
      </w:pPr>
    </w:lvl>
    <w:lvl w:ilvl="4">
      <w:start w:val="1"/>
      <w:numFmt w:val="lowerLetter"/>
      <w:lvlText w:val="(%5)"/>
      <w:lvlJc w:val="left"/>
      <w:pPr>
        <w:tabs>
          <w:tab w:val="num" w:pos="3688"/>
        </w:tabs>
        <w:ind w:left="3971" w:hanging="283"/>
      </w:pPr>
    </w:lvl>
    <w:lvl w:ilvl="5">
      <w:start w:val="1"/>
      <w:numFmt w:val="lowerRoman"/>
      <w:lvlText w:val="(%6)"/>
      <w:lvlJc w:val="left"/>
      <w:pPr>
        <w:tabs>
          <w:tab w:val="num" w:pos="4539"/>
        </w:tabs>
        <w:ind w:left="4822" w:hanging="283"/>
      </w:pPr>
    </w:lvl>
    <w:lvl w:ilvl="6">
      <w:start w:val="1"/>
      <w:numFmt w:val="decimal"/>
      <w:lvlText w:val="%7."/>
      <w:lvlJc w:val="left"/>
      <w:pPr>
        <w:tabs>
          <w:tab w:val="num" w:pos="5390"/>
        </w:tabs>
        <w:ind w:left="5673" w:hanging="283"/>
      </w:pPr>
    </w:lvl>
    <w:lvl w:ilvl="7">
      <w:start w:val="1"/>
      <w:numFmt w:val="lowerLetter"/>
      <w:lvlText w:val="%8."/>
      <w:lvlJc w:val="left"/>
      <w:pPr>
        <w:tabs>
          <w:tab w:val="num" w:pos="6241"/>
        </w:tabs>
        <w:ind w:left="6524" w:hanging="283"/>
      </w:pPr>
    </w:lvl>
    <w:lvl w:ilvl="8">
      <w:start w:val="1"/>
      <w:numFmt w:val="lowerRoman"/>
      <w:lvlText w:val="%9."/>
      <w:lvlJc w:val="left"/>
      <w:pPr>
        <w:tabs>
          <w:tab w:val="num" w:pos="7092"/>
        </w:tabs>
        <w:ind w:left="7375" w:hanging="283"/>
      </w:pPr>
    </w:lvl>
  </w:abstractNum>
  <w:abstractNum w:abstractNumId="6" w15:restartNumberingAfterBreak="0">
    <w:nsid w:val="6F2653A7"/>
    <w:multiLevelType w:val="multilevel"/>
    <w:tmpl w:val="55065CF0"/>
    <w:lvl w:ilvl="0">
      <w:start w:val="1"/>
      <w:numFmt w:val="decimal"/>
      <w:lvlText w:val="%1."/>
      <w:lvlJc w:val="center"/>
      <w:pPr>
        <w:tabs>
          <w:tab w:val="num" w:pos="284"/>
        </w:tabs>
        <w:ind w:left="567" w:hanging="283"/>
      </w:pPr>
    </w:lvl>
    <w:lvl w:ilvl="1">
      <w:start w:val="1"/>
      <w:numFmt w:val="lowerLetter"/>
      <w:lvlText w:val="%2."/>
      <w:lvlJc w:val="center"/>
      <w:pPr>
        <w:tabs>
          <w:tab w:val="num" w:pos="1135"/>
        </w:tabs>
        <w:ind w:left="1134" w:hanging="283"/>
      </w:pPr>
    </w:lvl>
    <w:lvl w:ilvl="2">
      <w:start w:val="1"/>
      <w:numFmt w:val="lowerRoman"/>
      <w:lvlText w:val="%3."/>
      <w:lvlJc w:val="center"/>
      <w:pPr>
        <w:tabs>
          <w:tab w:val="num" w:pos="1701"/>
        </w:tabs>
        <w:ind w:left="1701" w:hanging="283"/>
      </w:pPr>
    </w:lvl>
    <w:lvl w:ilvl="3">
      <w:start w:val="1"/>
      <w:numFmt w:val="decimal"/>
      <w:lvlText w:val="(%4)"/>
      <w:lvlJc w:val="left"/>
      <w:pPr>
        <w:tabs>
          <w:tab w:val="num" w:pos="2837"/>
        </w:tabs>
        <w:ind w:left="3120" w:hanging="283"/>
      </w:pPr>
    </w:lvl>
    <w:lvl w:ilvl="4">
      <w:start w:val="1"/>
      <w:numFmt w:val="lowerLetter"/>
      <w:lvlText w:val="(%5)"/>
      <w:lvlJc w:val="left"/>
      <w:pPr>
        <w:tabs>
          <w:tab w:val="num" w:pos="3688"/>
        </w:tabs>
        <w:ind w:left="3971" w:hanging="283"/>
      </w:pPr>
    </w:lvl>
    <w:lvl w:ilvl="5">
      <w:start w:val="1"/>
      <w:numFmt w:val="lowerRoman"/>
      <w:lvlText w:val="(%6)"/>
      <w:lvlJc w:val="left"/>
      <w:pPr>
        <w:tabs>
          <w:tab w:val="num" w:pos="4539"/>
        </w:tabs>
        <w:ind w:left="4822" w:hanging="283"/>
      </w:pPr>
    </w:lvl>
    <w:lvl w:ilvl="6">
      <w:start w:val="1"/>
      <w:numFmt w:val="decimal"/>
      <w:lvlText w:val="%7."/>
      <w:lvlJc w:val="left"/>
      <w:pPr>
        <w:tabs>
          <w:tab w:val="num" w:pos="5390"/>
        </w:tabs>
        <w:ind w:left="5673" w:hanging="283"/>
      </w:pPr>
    </w:lvl>
    <w:lvl w:ilvl="7">
      <w:start w:val="1"/>
      <w:numFmt w:val="lowerLetter"/>
      <w:lvlText w:val="%8."/>
      <w:lvlJc w:val="left"/>
      <w:pPr>
        <w:tabs>
          <w:tab w:val="num" w:pos="6241"/>
        </w:tabs>
        <w:ind w:left="6524" w:hanging="283"/>
      </w:pPr>
    </w:lvl>
    <w:lvl w:ilvl="8">
      <w:start w:val="1"/>
      <w:numFmt w:val="lowerRoman"/>
      <w:lvlText w:val="%9."/>
      <w:lvlJc w:val="left"/>
      <w:pPr>
        <w:tabs>
          <w:tab w:val="num" w:pos="7092"/>
        </w:tabs>
        <w:ind w:left="7375" w:hanging="283"/>
      </w:pPr>
    </w:lvl>
  </w:abstractNum>
  <w:num w:numId="1">
    <w:abstractNumId w:val="1"/>
  </w:num>
  <w:num w:numId="2">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forms" w:enforcement="1" w:cryptProviderType="rsaAES" w:cryptAlgorithmClass="hash" w:cryptAlgorithmType="typeAny" w:cryptAlgorithmSid="14" w:cryptSpinCount="100000" w:hash="htVKmsI3HP1bL2ZUDKf8Cq+VF+S0jeramZKiv2fHLLxZ2ZL78fs1d3hAgexoFcQaLBW8z+lh7jRIi9SPG5iZOQ==" w:salt="QpuMKJ6Z3aHmvufjMCftB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A9"/>
    <w:rsid w:val="00017CAC"/>
    <w:rsid w:val="00042947"/>
    <w:rsid w:val="000D618F"/>
    <w:rsid w:val="000E06EA"/>
    <w:rsid w:val="00177E17"/>
    <w:rsid w:val="001835E5"/>
    <w:rsid w:val="001F0004"/>
    <w:rsid w:val="001F7851"/>
    <w:rsid w:val="00202F7D"/>
    <w:rsid w:val="00213F42"/>
    <w:rsid w:val="0022159C"/>
    <w:rsid w:val="00246E10"/>
    <w:rsid w:val="002E7515"/>
    <w:rsid w:val="003726FE"/>
    <w:rsid w:val="003A6FC2"/>
    <w:rsid w:val="00492C48"/>
    <w:rsid w:val="004F1660"/>
    <w:rsid w:val="004F4369"/>
    <w:rsid w:val="00523E34"/>
    <w:rsid w:val="00570D3A"/>
    <w:rsid w:val="0059543B"/>
    <w:rsid w:val="005D5330"/>
    <w:rsid w:val="00624C36"/>
    <w:rsid w:val="00694D7B"/>
    <w:rsid w:val="006A441D"/>
    <w:rsid w:val="006B37F5"/>
    <w:rsid w:val="006E4FAE"/>
    <w:rsid w:val="007207FF"/>
    <w:rsid w:val="0072303B"/>
    <w:rsid w:val="0074743A"/>
    <w:rsid w:val="00787266"/>
    <w:rsid w:val="007B02C5"/>
    <w:rsid w:val="007C5D09"/>
    <w:rsid w:val="007C746C"/>
    <w:rsid w:val="007D5DA9"/>
    <w:rsid w:val="007E2184"/>
    <w:rsid w:val="00831D51"/>
    <w:rsid w:val="008F14B3"/>
    <w:rsid w:val="00952FA3"/>
    <w:rsid w:val="0098460F"/>
    <w:rsid w:val="00994CE4"/>
    <w:rsid w:val="00996E2A"/>
    <w:rsid w:val="009E5BDB"/>
    <w:rsid w:val="009E6532"/>
    <w:rsid w:val="00B02214"/>
    <w:rsid w:val="00B02C0E"/>
    <w:rsid w:val="00C01806"/>
    <w:rsid w:val="00C47475"/>
    <w:rsid w:val="00C552BB"/>
    <w:rsid w:val="00CE3C19"/>
    <w:rsid w:val="00DB491C"/>
    <w:rsid w:val="00DD5B55"/>
    <w:rsid w:val="00DF6FC1"/>
    <w:rsid w:val="00E057CC"/>
    <w:rsid w:val="00E70DC7"/>
    <w:rsid w:val="00E70EF5"/>
    <w:rsid w:val="00EA0051"/>
    <w:rsid w:val="00F32B9F"/>
    <w:rsid w:val="00F52B16"/>
    <w:rsid w:val="00FB5515"/>
    <w:rsid w:val="00FC2DB3"/>
    <w:rsid w:val="00FF79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13EB5"/>
  <w15:chartTrackingRefBased/>
  <w15:docId w15:val="{953CE5F2-2EAC-4338-9953-1A8CA795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DA9"/>
  </w:style>
  <w:style w:type="paragraph" w:styleId="Heading2">
    <w:name w:val="heading 2"/>
    <w:aliases w:val="Chapter Title"/>
    <w:basedOn w:val="Normal"/>
    <w:next w:val="Normal"/>
    <w:link w:val="Heading2Char"/>
    <w:unhideWhenUsed/>
    <w:qFormat/>
    <w:rsid w:val="007D5D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D5D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C5D0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pter Title Char"/>
    <w:basedOn w:val="DefaultParagraphFont"/>
    <w:link w:val="Heading2"/>
    <w:rsid w:val="007D5DA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D5DA9"/>
    <w:rPr>
      <w:rFonts w:asciiTheme="majorHAnsi" w:eastAsiaTheme="majorEastAsia" w:hAnsiTheme="majorHAnsi" w:cstheme="majorBidi"/>
      <w:color w:val="1F4D78" w:themeColor="accent1" w:themeShade="7F"/>
      <w:sz w:val="24"/>
      <w:szCs w:val="24"/>
    </w:rPr>
  </w:style>
  <w:style w:type="character" w:customStyle="1" w:styleId="Bullet1Char">
    <w:name w:val="Bullet1 Char"/>
    <w:basedOn w:val="DefaultParagraphFont"/>
    <w:link w:val="Bullet1"/>
    <w:locked/>
    <w:rsid w:val="007D5DA9"/>
    <w:rPr>
      <w:szCs w:val="24"/>
    </w:rPr>
  </w:style>
  <w:style w:type="paragraph" w:customStyle="1" w:styleId="Bullet1">
    <w:name w:val="Bullet1"/>
    <w:basedOn w:val="Normal"/>
    <w:link w:val="Bullet1Char"/>
    <w:qFormat/>
    <w:rsid w:val="007D5DA9"/>
    <w:pPr>
      <w:numPr>
        <w:numId w:val="1"/>
      </w:numPr>
      <w:spacing w:before="120" w:after="120" w:line="276" w:lineRule="auto"/>
    </w:pPr>
    <w:rPr>
      <w:szCs w:val="24"/>
    </w:rPr>
  </w:style>
  <w:style w:type="paragraph" w:customStyle="1" w:styleId="Bullet2">
    <w:name w:val="Bullet2"/>
    <w:basedOn w:val="Bullet1"/>
    <w:qFormat/>
    <w:rsid w:val="007D5DA9"/>
    <w:pPr>
      <w:numPr>
        <w:ilvl w:val="1"/>
      </w:numPr>
      <w:tabs>
        <w:tab w:val="clear" w:pos="1440"/>
        <w:tab w:val="num" w:pos="360"/>
      </w:tabs>
    </w:pPr>
    <w:rPr>
      <w:lang w:val="en-US"/>
    </w:rPr>
  </w:style>
  <w:style w:type="character" w:customStyle="1" w:styleId="Heading4Char">
    <w:name w:val="Heading 4 Char"/>
    <w:basedOn w:val="DefaultParagraphFont"/>
    <w:link w:val="Heading4"/>
    <w:uiPriority w:val="9"/>
    <w:semiHidden/>
    <w:rsid w:val="007C5D09"/>
    <w:rPr>
      <w:rFonts w:asciiTheme="majorHAnsi" w:eastAsiaTheme="majorEastAsia" w:hAnsiTheme="majorHAnsi" w:cstheme="majorBidi"/>
      <w:i/>
      <w:iCs/>
      <w:color w:val="2E74B5" w:themeColor="accent1" w:themeShade="BF"/>
    </w:rPr>
  </w:style>
  <w:style w:type="paragraph" w:styleId="ListNumber">
    <w:name w:val="List Number"/>
    <w:basedOn w:val="Normal"/>
    <w:unhideWhenUsed/>
    <w:qFormat/>
    <w:rsid w:val="007C5D09"/>
    <w:pPr>
      <w:numPr>
        <w:numId w:val="4"/>
      </w:numPr>
      <w:spacing w:before="120" w:after="120" w:line="276" w:lineRule="auto"/>
    </w:pPr>
    <w:rPr>
      <w:rFonts w:ascii="Franklin Gothic Book" w:eastAsia="Times New Roman" w:hAnsi="Franklin Gothic Book" w:cs="Times New Roman"/>
      <w:szCs w:val="24"/>
      <w:lang w:val="en-US"/>
    </w:rPr>
  </w:style>
  <w:style w:type="paragraph" w:styleId="Header">
    <w:name w:val="header"/>
    <w:basedOn w:val="Normal"/>
    <w:link w:val="HeaderChar"/>
    <w:uiPriority w:val="99"/>
    <w:unhideWhenUsed/>
    <w:rsid w:val="00952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FA3"/>
  </w:style>
  <w:style w:type="paragraph" w:styleId="Footer">
    <w:name w:val="footer"/>
    <w:basedOn w:val="Normal"/>
    <w:link w:val="FooterChar"/>
    <w:uiPriority w:val="99"/>
    <w:unhideWhenUsed/>
    <w:qFormat/>
    <w:rsid w:val="00952F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FA3"/>
  </w:style>
  <w:style w:type="table" w:styleId="TableGrid">
    <w:name w:val="Table Grid"/>
    <w:basedOn w:val="TableNormal"/>
    <w:uiPriority w:val="39"/>
    <w:rsid w:val="0001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Sabell</dc:creator>
  <cp:keywords/>
  <dc:description/>
  <cp:lastModifiedBy>Sarah Sabell</cp:lastModifiedBy>
  <cp:revision>20</cp:revision>
  <cp:lastPrinted>2019-06-25T04:30:00Z</cp:lastPrinted>
  <dcterms:created xsi:type="dcterms:W3CDTF">2019-03-04T01:59:00Z</dcterms:created>
  <dcterms:modified xsi:type="dcterms:W3CDTF">2019-07-09T07:55:00Z</dcterms:modified>
</cp:coreProperties>
</file>